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A04533">
        <w:rPr>
          <w:rFonts w:ascii="Arial Black" w:hAnsi="Arial Black" w:cs="Arial"/>
          <w:sz w:val="36"/>
          <w:szCs w:val="36"/>
        </w:rPr>
        <w:t>6</w:t>
      </w:r>
      <w:r w:rsidR="003D7CAA">
        <w:rPr>
          <w:rFonts w:ascii="Arial Black" w:hAnsi="Arial Black" w:cs="Arial"/>
          <w:sz w:val="36"/>
          <w:szCs w:val="36"/>
        </w:rPr>
        <w:t>25</w:t>
      </w:r>
    </w:p>
    <w:p w:rsidR="002145B0" w:rsidRPr="004C7BB4" w:rsidRDefault="003A473A"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4.5</w:t>
      </w:r>
      <w:r w:rsidR="0010737B">
        <w:rPr>
          <w:rFonts w:ascii="Arial" w:hAnsi="Arial" w:cs="Arial"/>
          <w:b/>
          <w:sz w:val="18"/>
          <w:szCs w:val="18"/>
        </w:rPr>
        <w:t>mm thick</w:t>
      </w:r>
      <w:r>
        <w:rPr>
          <w:rFonts w:ascii="Arial" w:hAnsi="Arial" w:cs="Arial"/>
          <w:b/>
          <w:sz w:val="18"/>
          <w:szCs w:val="18"/>
        </w:rPr>
        <w:t>, mineral finish,</w:t>
      </w:r>
      <w:r w:rsidR="0010737B">
        <w:rPr>
          <w:rFonts w:ascii="Arial" w:hAnsi="Arial" w:cs="Arial"/>
          <w:b/>
          <w:sz w:val="18"/>
          <w:szCs w:val="18"/>
        </w:rPr>
        <w:t xml:space="preserve"> reinforced </w:t>
      </w:r>
      <w:r w:rsidR="00A04533">
        <w:rPr>
          <w:rFonts w:ascii="Arial" w:hAnsi="Arial" w:cs="Arial"/>
          <w:b/>
          <w:sz w:val="18"/>
          <w:szCs w:val="18"/>
        </w:rPr>
        <w:t xml:space="preserve">polymer modified </w:t>
      </w:r>
      <w:r w:rsidR="0010737B">
        <w:rPr>
          <w:rFonts w:ascii="Arial" w:hAnsi="Arial" w:cs="Arial"/>
          <w:b/>
          <w:sz w:val="18"/>
          <w:szCs w:val="18"/>
        </w:rPr>
        <w:t xml:space="preserve">bitumen </w:t>
      </w:r>
      <w:r w:rsidR="00592843">
        <w:rPr>
          <w:rFonts w:ascii="Arial" w:hAnsi="Arial" w:cs="Arial"/>
          <w:b/>
          <w:sz w:val="18"/>
          <w:szCs w:val="18"/>
        </w:rPr>
        <w:t xml:space="preserve">torch-on </w:t>
      </w:r>
      <w:r w:rsidR="0055671D">
        <w:rPr>
          <w:rFonts w:ascii="Arial" w:hAnsi="Arial" w:cs="Arial"/>
          <w:b/>
          <w:sz w:val="18"/>
          <w:szCs w:val="18"/>
        </w:rPr>
        <w:t>waterproofing</w:t>
      </w:r>
      <w:r w:rsidR="0010737B">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A473A">
        <w:rPr>
          <w:rFonts w:ascii="Arial" w:hAnsi="Arial" w:cs="Arial"/>
          <w:b/>
          <w:sz w:val="18"/>
          <w:szCs w:val="18"/>
        </w:rPr>
        <w:t>Mineral finish p</w:t>
      </w:r>
      <w:r w:rsidR="0010737B">
        <w:rPr>
          <w:rFonts w:ascii="Arial" w:hAnsi="Arial" w:cs="Arial"/>
          <w:b/>
          <w:sz w:val="18"/>
          <w:szCs w:val="18"/>
        </w:rPr>
        <w:t>olymer modified bituminous waterproofing membrane</w:t>
      </w:r>
      <w:r w:rsidR="00C93190">
        <w:rPr>
          <w:rFonts w:ascii="Arial" w:hAnsi="Arial" w:cs="Arial"/>
          <w:b/>
          <w:sz w:val="18"/>
          <w:szCs w:val="18"/>
        </w:rPr>
        <w:t xml:space="preserve"> </w:t>
      </w:r>
    </w:p>
    <w:p w:rsidR="00800421" w:rsidRDefault="007842B0" w:rsidP="0010737B">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 xml:space="preserve">Where so designated on the drawing, the surfaces shall be covered with a </w:t>
      </w:r>
      <w:r w:rsidR="003A473A">
        <w:rPr>
          <w:rFonts w:ascii="ArialMT" w:hAnsi="ArialMT" w:cs="ArialMT"/>
          <w:sz w:val="18"/>
          <w:szCs w:val="18"/>
        </w:rPr>
        <w:t>4.5</w:t>
      </w:r>
      <w:r w:rsidR="0010737B">
        <w:rPr>
          <w:rFonts w:ascii="ArialMT" w:hAnsi="ArialMT" w:cs="ArialMT"/>
          <w:sz w:val="18"/>
          <w:szCs w:val="18"/>
        </w:rPr>
        <w:t>mm thick torch applied,</w:t>
      </w:r>
      <w:r w:rsidR="0010737B">
        <w:rPr>
          <w:rFonts w:ascii="ArialMT" w:hAnsi="ArialMT" w:cs="ArialMT"/>
          <w:sz w:val="18"/>
          <w:szCs w:val="18"/>
        </w:rPr>
        <w:tab/>
        <w:t>polyester reinforced, polymer modified bituminous waterproofing membrane</w:t>
      </w:r>
      <w:r w:rsidR="003A473A">
        <w:rPr>
          <w:rFonts w:ascii="ArialMT" w:hAnsi="ArialMT" w:cs="ArialMT"/>
          <w:sz w:val="18"/>
          <w:szCs w:val="18"/>
        </w:rPr>
        <w:t xml:space="preserve"> with mineral finish for </w:t>
      </w:r>
      <w:r w:rsidR="003A473A">
        <w:rPr>
          <w:rFonts w:ascii="ArialMT" w:hAnsi="ArialMT" w:cs="ArialMT"/>
          <w:sz w:val="18"/>
          <w:szCs w:val="18"/>
        </w:rPr>
        <w:tab/>
        <w:t>improved UV resistance</w:t>
      </w:r>
      <w:r w:rsidR="0010737B">
        <w:rPr>
          <w:rFonts w:ascii="ArialMT" w:hAnsi="ArialMT" w:cs="ArialMT"/>
          <w:sz w:val="18"/>
          <w:szCs w:val="18"/>
        </w:rPr>
        <w:t>.</w:t>
      </w:r>
    </w:p>
    <w:p w:rsidR="0010737B"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3A473A">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 xml:space="preserve">shall be </w:t>
      </w:r>
      <w:r w:rsidR="003A473A">
        <w:rPr>
          <w:rFonts w:ascii="ArialMT" w:hAnsi="ArialMT" w:cs="ArialMT"/>
          <w:sz w:val="18"/>
          <w:szCs w:val="18"/>
        </w:rPr>
        <w:t>4.5</w:t>
      </w:r>
      <w:r w:rsidR="00A66049">
        <w:rPr>
          <w:rFonts w:ascii="ArialMT" w:hAnsi="ArialMT" w:cs="ArialMT"/>
          <w:sz w:val="18"/>
          <w:szCs w:val="18"/>
        </w:rPr>
        <w:t xml:space="preserve">mm thick, reinforced with non-woven polyester fabric and be </w:t>
      </w:r>
      <w:r w:rsidR="00A66049">
        <w:rPr>
          <w:rFonts w:ascii="ArialMT" w:hAnsi="ArialMT" w:cs="ArialMT"/>
          <w:sz w:val="18"/>
          <w:szCs w:val="18"/>
        </w:rPr>
        <w:tab/>
        <w:t>based on a</w:t>
      </w:r>
      <w:r w:rsidR="003A473A">
        <w:rPr>
          <w:rFonts w:ascii="ArialMT" w:hAnsi="ArialMT" w:cs="ArialMT"/>
          <w:sz w:val="18"/>
          <w:szCs w:val="18"/>
        </w:rPr>
        <w:t>n</w:t>
      </w:r>
      <w:r w:rsidR="00A66049">
        <w:rPr>
          <w:rFonts w:ascii="ArialMT" w:hAnsi="ArialMT" w:cs="ArialMT"/>
          <w:sz w:val="18"/>
          <w:szCs w:val="18"/>
        </w:rPr>
        <w:t xml:space="preserve"> elasto</w:t>
      </w:r>
      <w:r w:rsidR="001755E3">
        <w:rPr>
          <w:rFonts w:ascii="ArialMT" w:hAnsi="ArialMT" w:cs="ArialMT"/>
          <w:sz w:val="18"/>
          <w:szCs w:val="18"/>
        </w:rPr>
        <w:t>-</w:t>
      </w:r>
      <w:r w:rsidR="00A66049">
        <w:rPr>
          <w:rFonts w:ascii="ArialMT" w:hAnsi="ArialMT" w:cs="ArialMT"/>
          <w:sz w:val="18"/>
          <w:szCs w:val="18"/>
        </w:rPr>
        <w:t>plastomeric bitumen-polymer compound</w:t>
      </w:r>
      <w:r>
        <w:rPr>
          <w:rFonts w:ascii="ArialMT" w:hAnsi="ArialMT" w:cs="ArialMT"/>
          <w:sz w:val="18"/>
          <w:szCs w:val="18"/>
        </w:rPr>
        <w:t>.</w:t>
      </w:r>
      <w:r w:rsidR="003A473A">
        <w:rPr>
          <w:rFonts w:ascii="ArialMT" w:hAnsi="ArialMT" w:cs="ArialMT"/>
          <w:sz w:val="18"/>
          <w:szCs w:val="18"/>
        </w:rPr>
        <w:t xml:space="preserve"> The membrane will have the upper face</w:t>
      </w:r>
      <w:r w:rsidR="003A473A">
        <w:rPr>
          <w:rFonts w:ascii="ArialMT" w:hAnsi="ArialMT" w:cs="ArialMT"/>
          <w:sz w:val="18"/>
          <w:szCs w:val="18"/>
        </w:rPr>
        <w:tab/>
        <w:t xml:space="preserve">self-protected with a layer of grey slate granules. </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1A3876">
        <w:rPr>
          <w:rFonts w:ascii="ArialMT" w:hAnsi="ArialMT" w:cs="ArialMT"/>
          <w:sz w:val="18"/>
          <w:szCs w:val="18"/>
        </w:rPr>
        <w:t>waterproofing</w:t>
      </w:r>
      <w:r>
        <w:rPr>
          <w:rFonts w:ascii="ArialMT" w:hAnsi="ArialMT" w:cs="ArialMT"/>
          <w:sz w:val="18"/>
          <w:szCs w:val="18"/>
        </w:rPr>
        <w:t xml:space="preserve">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3A473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4.5</w:t>
            </w:r>
            <w:r w:rsidR="00A66049">
              <w:rPr>
                <w:rFonts w:ascii="ArialMT" w:hAnsi="ArialMT" w:cs="ArialMT"/>
                <w:sz w:val="18"/>
                <w:szCs w:val="18"/>
              </w:rPr>
              <w:t>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 minus</w:t>
            </w:r>
            <w:r w:rsidR="00A66049">
              <w:rPr>
                <w:rFonts w:ascii="ArialMT" w:hAnsi="ArialMT" w:cs="ArialMT"/>
                <w:sz w:val="18"/>
                <w:szCs w:val="18"/>
              </w:rPr>
              <w:t xml:space="preserve"> </w:t>
            </w:r>
            <w:r w:rsidR="00A04533">
              <w:rPr>
                <w:rFonts w:ascii="ArialMT" w:hAnsi="ArialMT" w:cs="ArialMT"/>
                <w:sz w:val="18"/>
                <w:szCs w:val="18"/>
              </w:rPr>
              <w:t>10</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A04533">
              <w:rPr>
                <w:rFonts w:ascii="ArialMT" w:hAnsi="ArialMT" w:cs="ArialMT"/>
                <w:sz w:val="18"/>
                <w:szCs w:val="18"/>
              </w:rPr>
              <w:t>70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A04533">
              <w:rPr>
                <w:rFonts w:ascii="ArialMT" w:hAnsi="ArialMT" w:cs="ArialMT"/>
                <w:sz w:val="18"/>
                <w:szCs w:val="18"/>
              </w:rPr>
              <w:t>4</w:t>
            </w:r>
            <w:r w:rsidR="00A66049">
              <w:rPr>
                <w:rFonts w:ascii="ArialMT" w:hAnsi="ArialMT" w:cs="ArialMT"/>
                <w:sz w:val="18"/>
                <w:szCs w:val="18"/>
              </w:rPr>
              <w:t>5</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w:t>
            </w:r>
            <w:r w:rsidR="00A66049">
              <w:rPr>
                <w:rFonts w:ascii="ArialMT" w:hAnsi="ArialMT" w:cs="ArialMT"/>
                <w:sz w:val="18"/>
                <w:szCs w:val="18"/>
              </w:rPr>
              <w:t>0</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w:t>
            </w:r>
            <w:r w:rsidR="00A04533">
              <w:rPr>
                <w:rFonts w:ascii="ArialMT" w:hAnsi="ArialMT" w:cs="ArialMT"/>
                <w:sz w:val="18"/>
                <w:szCs w:val="18"/>
              </w:rPr>
              <w:t>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≤0.5%</w:t>
            </w:r>
          </w:p>
        </w:tc>
      </w:tr>
      <w:tr w:rsidR="00532FAA" w:rsidRPr="005522DF" w:rsidTr="00532FAA">
        <w:trPr>
          <w:trHeight w:val="51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w:t>
            </w:r>
            <w:r w:rsidR="00A66049">
              <w:rPr>
                <w:rFonts w:ascii="ArialMT" w:hAnsi="ArialMT" w:cs="ArialMT"/>
                <w:sz w:val="18"/>
                <w:szCs w:val="18"/>
              </w:rPr>
              <w:t>5</w:t>
            </w:r>
            <w:r>
              <w:rPr>
                <w:rFonts w:ascii="ArialMT" w:hAnsi="ArialMT" w:cs="ArialMT"/>
                <w:sz w:val="18"/>
                <w:szCs w:val="18"/>
              </w:rPr>
              <w:t>0 N (±30%)</w:t>
            </w:r>
          </w:p>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w:t>
            </w:r>
            <w:r w:rsidR="00A66049">
              <w:rPr>
                <w:rFonts w:ascii="ArialMT" w:hAnsi="ArialMT" w:cs="ArialMT"/>
                <w:sz w:val="18"/>
                <w:szCs w:val="18"/>
              </w:rPr>
              <w:t>6</w:t>
            </w:r>
            <w:r>
              <w:rPr>
                <w:rFonts w:ascii="ArialMT" w:hAnsi="ArialMT" w:cs="ArialMT"/>
                <w:sz w:val="18"/>
                <w:szCs w:val="18"/>
              </w:rPr>
              <w:t>0 N (±30%)</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A04533">
        <w:rPr>
          <w:rFonts w:ascii="Arial" w:hAnsi="Arial" w:cs="Arial"/>
          <w:b/>
          <w:sz w:val="18"/>
          <w:szCs w:val="18"/>
          <w:lang w:val="en-GB"/>
        </w:rPr>
        <w:t>6</w:t>
      </w:r>
      <w:r w:rsidR="003A473A">
        <w:rPr>
          <w:rFonts w:ascii="Arial" w:hAnsi="Arial" w:cs="Arial"/>
          <w:b/>
          <w:sz w:val="18"/>
          <w:szCs w:val="18"/>
          <w:lang w:val="en-GB"/>
        </w:rPr>
        <w:t>25</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81" w:rsidRDefault="003A7681" w:rsidP="00275B04">
      <w:pPr>
        <w:spacing w:after="0" w:line="240" w:lineRule="auto"/>
      </w:pPr>
      <w:r>
        <w:separator/>
      </w:r>
    </w:p>
  </w:endnote>
  <w:endnote w:type="continuationSeparator" w:id="0">
    <w:p w:rsidR="003A7681" w:rsidRDefault="003A768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755E3" w:rsidRDefault="001755E3" w:rsidP="001755E3">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755E3" w:rsidRDefault="001755E3" w:rsidP="001755E3">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1755E3">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81" w:rsidRDefault="003A7681" w:rsidP="00275B04">
      <w:pPr>
        <w:spacing w:after="0" w:line="240" w:lineRule="auto"/>
      </w:pPr>
      <w:bookmarkStart w:id="0" w:name="_Hlk37232099"/>
      <w:bookmarkEnd w:id="0"/>
      <w:r>
        <w:separator/>
      </w:r>
    </w:p>
  </w:footnote>
  <w:footnote w:type="continuationSeparator" w:id="0">
    <w:p w:rsidR="003A7681" w:rsidRDefault="003A768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0737B"/>
    <w:rsid w:val="001204F2"/>
    <w:rsid w:val="00152B71"/>
    <w:rsid w:val="001755E3"/>
    <w:rsid w:val="00186413"/>
    <w:rsid w:val="00191850"/>
    <w:rsid w:val="001A1AB6"/>
    <w:rsid w:val="001A3876"/>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188"/>
    <w:rsid w:val="00371440"/>
    <w:rsid w:val="00390DC5"/>
    <w:rsid w:val="00391AE9"/>
    <w:rsid w:val="003A44B3"/>
    <w:rsid w:val="003A4732"/>
    <w:rsid w:val="003A473A"/>
    <w:rsid w:val="003A7681"/>
    <w:rsid w:val="003D7CAA"/>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92843"/>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761EB"/>
    <w:rsid w:val="00877B18"/>
    <w:rsid w:val="008A3710"/>
    <w:rsid w:val="008A4736"/>
    <w:rsid w:val="008B5B89"/>
    <w:rsid w:val="008C6162"/>
    <w:rsid w:val="00903296"/>
    <w:rsid w:val="00965080"/>
    <w:rsid w:val="009811E7"/>
    <w:rsid w:val="00996E5B"/>
    <w:rsid w:val="009A1D10"/>
    <w:rsid w:val="009A5E03"/>
    <w:rsid w:val="009A62BC"/>
    <w:rsid w:val="009B6A16"/>
    <w:rsid w:val="009E3474"/>
    <w:rsid w:val="00A03ED5"/>
    <w:rsid w:val="00A04533"/>
    <w:rsid w:val="00A11BB0"/>
    <w:rsid w:val="00A13BF0"/>
    <w:rsid w:val="00A17FD3"/>
    <w:rsid w:val="00A33A1F"/>
    <w:rsid w:val="00A51261"/>
    <w:rsid w:val="00A56570"/>
    <w:rsid w:val="00A66049"/>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6F565"/>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2020-05-05T03:01:00Z</dcterms:created>
  <dcterms:modified xsi:type="dcterms:W3CDTF">2022-03-07T00:49:00Z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