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8737" w14:textId="77777777"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6E22C9">
        <w:rPr>
          <w:rFonts w:ascii="Arial Black" w:hAnsi="Arial Black" w:cs="Arial"/>
          <w:sz w:val="36"/>
          <w:szCs w:val="36"/>
        </w:rPr>
        <w:t>Engage</w:t>
      </w:r>
    </w:p>
    <w:p w14:paraId="120C2931" w14:textId="77777777" w:rsidR="002145B0" w:rsidRPr="004C7BB4" w:rsidRDefault="006E22C9"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Pre-applied</w:t>
      </w:r>
      <w:r w:rsidR="00C83AA9">
        <w:rPr>
          <w:rFonts w:ascii="Arial" w:hAnsi="Arial" w:cs="Arial"/>
          <w:b/>
          <w:sz w:val="18"/>
          <w:szCs w:val="18"/>
        </w:rPr>
        <w:t xml:space="preserve"> </w:t>
      </w:r>
      <w:r w:rsidR="00391AE9">
        <w:rPr>
          <w:rFonts w:ascii="Arial" w:hAnsi="Arial" w:cs="Arial"/>
          <w:b/>
          <w:sz w:val="18"/>
          <w:szCs w:val="18"/>
        </w:rPr>
        <w:t>w</w:t>
      </w:r>
      <w:r w:rsidR="002802F0">
        <w:rPr>
          <w:rFonts w:ascii="Arial" w:hAnsi="Arial" w:cs="Arial"/>
          <w:b/>
          <w:sz w:val="18"/>
          <w:szCs w:val="18"/>
        </w:rPr>
        <w:t>aterproof membrane</w:t>
      </w:r>
    </w:p>
    <w:p w14:paraId="7794F8F7" w14:textId="77777777"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6E22C9">
        <w:rPr>
          <w:rFonts w:ascii="Arial" w:hAnsi="Arial" w:cs="Arial"/>
          <w:b/>
          <w:sz w:val="18"/>
          <w:szCs w:val="18"/>
        </w:rPr>
        <w:t>Pre-applied Sheet</w:t>
      </w:r>
      <w:r w:rsidR="00800421">
        <w:rPr>
          <w:rFonts w:ascii="Arial" w:hAnsi="Arial" w:cs="Arial"/>
          <w:b/>
          <w:sz w:val="18"/>
          <w:szCs w:val="18"/>
        </w:rPr>
        <w:t xml:space="preserve"> Waterproofing</w:t>
      </w:r>
    </w:p>
    <w:p w14:paraId="29201677" w14:textId="77777777" w:rsidR="00656271" w:rsidRDefault="007842B0" w:rsidP="00656271">
      <w:pPr>
        <w:autoSpaceDE w:val="0"/>
        <w:autoSpaceDN w:val="0"/>
        <w:adjustRightInd w:val="0"/>
        <w:spacing w:after="0" w:line="240" w:lineRule="auto"/>
        <w:rPr>
          <w:rFonts w:ascii="ArialMT" w:hAnsi="ArialMT" w:cs="ArialMT"/>
          <w:sz w:val="18"/>
          <w:szCs w:val="18"/>
        </w:rPr>
      </w:pPr>
      <w:r>
        <w:rPr>
          <w:rFonts w:ascii="Arial" w:hAnsi="Arial" w:cs="Arial"/>
          <w:b/>
          <w:sz w:val="18"/>
          <w:szCs w:val="18"/>
          <w:lang w:val="en-GB"/>
        </w:rPr>
        <w:tab/>
      </w:r>
      <w:r w:rsidR="00B03F50" w:rsidRPr="00B03F50">
        <w:rPr>
          <w:rFonts w:ascii="Arial" w:hAnsi="Arial" w:cs="Arial"/>
          <w:sz w:val="18"/>
          <w:szCs w:val="18"/>
          <w:lang w:val="en-GB"/>
        </w:rPr>
        <w:t xml:space="preserve">Where so designated on the drawings, </w:t>
      </w:r>
      <w:r w:rsidR="00656271">
        <w:rPr>
          <w:rFonts w:ascii="ArialMT" w:hAnsi="ArialMT" w:cs="ArialMT"/>
          <w:sz w:val="18"/>
          <w:szCs w:val="18"/>
        </w:rPr>
        <w:t xml:space="preserve">the waterproof tanking membrane shall be, a blended </w:t>
      </w:r>
      <w:r w:rsidR="00656271">
        <w:rPr>
          <w:rFonts w:ascii="ArialMT" w:hAnsi="ArialMT" w:cs="ArialMT"/>
          <w:sz w:val="18"/>
          <w:szCs w:val="18"/>
        </w:rPr>
        <w:tab/>
        <w:t>polyethylene / polypropylene membrane incorporating a cell mesh, enabling the membrane to</w:t>
      </w:r>
    </w:p>
    <w:p w14:paraId="4F0A9B16" w14:textId="3563B617" w:rsidR="00800421" w:rsidRPr="00656271" w:rsidRDefault="00656271" w:rsidP="00656271">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mechanically bond with the poured concrete. The membrane shall be supplied with one self-adhesive </w:t>
      </w:r>
      <w:r>
        <w:rPr>
          <w:rFonts w:ascii="ArialMT" w:hAnsi="ArialMT" w:cs="ArialMT"/>
          <w:sz w:val="18"/>
          <w:szCs w:val="18"/>
        </w:rPr>
        <w:tab/>
        <w:t>selvedge to provide sealed laps and comply with British Standard 8102:20</w:t>
      </w:r>
      <w:r w:rsidR="00C90802">
        <w:rPr>
          <w:rFonts w:ascii="ArialMT" w:hAnsi="ArialMT" w:cs="ArialMT"/>
          <w:sz w:val="18"/>
          <w:szCs w:val="18"/>
        </w:rPr>
        <w:t>22</w:t>
      </w:r>
      <w:r>
        <w:rPr>
          <w:rFonts w:ascii="ArialMT" w:hAnsi="ArialMT" w:cs="ArialMT"/>
          <w:sz w:val="18"/>
          <w:szCs w:val="18"/>
        </w:rPr>
        <w:t xml:space="preserve"> – Code of practice for </w:t>
      </w:r>
      <w:r>
        <w:rPr>
          <w:rFonts w:ascii="ArialMT" w:hAnsi="ArialMT" w:cs="ArialMT"/>
          <w:sz w:val="18"/>
          <w:szCs w:val="18"/>
        </w:rPr>
        <w:tab/>
        <w:t xml:space="preserve">“Protection of Structures Against Water from the Ground” to provide basement waterproofing protection </w:t>
      </w:r>
      <w:r>
        <w:rPr>
          <w:rFonts w:ascii="ArialMT" w:hAnsi="ArialMT" w:cs="ArialMT"/>
          <w:sz w:val="18"/>
          <w:szCs w:val="18"/>
        </w:rPr>
        <w:tab/>
        <w:t xml:space="preserve">to grades 1, 2 and 3. The product shall comply with the requirements of BS EN 13967:2004, type A and </w:t>
      </w:r>
      <w:r>
        <w:rPr>
          <w:rFonts w:ascii="ArialMT" w:hAnsi="ArialMT" w:cs="ArialMT"/>
          <w:sz w:val="18"/>
          <w:szCs w:val="18"/>
        </w:rPr>
        <w:tab/>
        <w:t xml:space="preserve">Type T, “Flexible sheets for waterproofing- Plastic and rubber damp proof sheets including plastic and </w:t>
      </w:r>
      <w:r>
        <w:rPr>
          <w:rFonts w:ascii="ArialMT" w:hAnsi="ArialMT" w:cs="ArialMT"/>
          <w:sz w:val="18"/>
          <w:szCs w:val="18"/>
        </w:rPr>
        <w:tab/>
        <w:t>rubber basement tanking”. The product shall have a current British Board of Agreement Certificate</w:t>
      </w:r>
      <w:r w:rsidR="00605FF5">
        <w:rPr>
          <w:rFonts w:ascii="ArialMT" w:hAnsi="ArialMT" w:cs="ArialMT"/>
          <w:sz w:val="18"/>
          <w:szCs w:val="18"/>
        </w:rPr>
        <w:t xml:space="preserve"> and </w:t>
      </w:r>
      <w:r w:rsidR="00605FF5">
        <w:rPr>
          <w:rFonts w:ascii="ArialMT" w:hAnsi="ArialMT" w:cs="ArialMT"/>
          <w:sz w:val="18"/>
          <w:szCs w:val="18"/>
        </w:rPr>
        <w:tab/>
        <w:t>be considered fit for purpose when assessed under the terms of the BRANZ Appraisal scheme</w:t>
      </w:r>
      <w:r>
        <w:rPr>
          <w:rFonts w:ascii="ArialMT" w:hAnsi="ArialMT" w:cs="ArialMT"/>
          <w:sz w:val="18"/>
          <w:szCs w:val="18"/>
        </w:rPr>
        <w:t>.</w:t>
      </w:r>
    </w:p>
    <w:p w14:paraId="64EC7C3F" w14:textId="77777777" w:rsidR="006E3395" w:rsidRPr="00800421" w:rsidRDefault="006E3395" w:rsidP="006E3395">
      <w:pPr>
        <w:spacing w:after="0" w:line="240" w:lineRule="auto"/>
        <w:rPr>
          <w:rFonts w:ascii="Arial" w:hAnsi="Arial" w:cs="Arial"/>
          <w:sz w:val="18"/>
          <w:szCs w:val="18"/>
          <w:lang w:val="en-GB"/>
        </w:rPr>
      </w:pPr>
    </w:p>
    <w:p w14:paraId="5F67743F" w14:textId="77777777"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B03F50">
        <w:rPr>
          <w:rFonts w:ascii="Arial" w:hAnsi="Arial" w:cs="Arial"/>
          <w:b/>
          <w:sz w:val="18"/>
          <w:szCs w:val="18"/>
          <w:lang w:val="en-GB"/>
        </w:rPr>
        <w:t>Surface Preparation</w:t>
      </w:r>
    </w:p>
    <w:p w14:paraId="1EE37C4A" w14:textId="77777777" w:rsidR="00656271" w:rsidRDefault="006E3395" w:rsidP="00656271">
      <w:pPr>
        <w:autoSpaceDE w:val="0"/>
        <w:autoSpaceDN w:val="0"/>
        <w:adjustRightInd w:val="0"/>
        <w:spacing w:after="0" w:line="240" w:lineRule="auto"/>
        <w:rPr>
          <w:rFonts w:ascii="ArialMT" w:hAnsi="ArialMT" w:cs="ArialMT"/>
          <w:sz w:val="18"/>
          <w:szCs w:val="18"/>
        </w:rPr>
      </w:pPr>
      <w:r w:rsidRPr="00880AFB">
        <w:rPr>
          <w:rFonts w:ascii="Arial" w:hAnsi="Arial" w:cs="Arial"/>
          <w:sz w:val="18"/>
          <w:szCs w:val="18"/>
          <w:lang w:val="en-GB"/>
        </w:rPr>
        <w:tab/>
      </w:r>
      <w:r w:rsidR="00656271">
        <w:rPr>
          <w:rFonts w:ascii="ArialMT" w:hAnsi="ArialMT" w:cs="ArialMT"/>
          <w:sz w:val="18"/>
          <w:szCs w:val="18"/>
        </w:rPr>
        <w:t>The membrane must be applied to a smooth prepared substrate. Concrete blinding is preferred but</w:t>
      </w:r>
    </w:p>
    <w:p w14:paraId="1823EFD6" w14:textId="77777777" w:rsidR="00656271" w:rsidRDefault="00656271" w:rsidP="00656271">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a well compacted granular fill is acceptable for a level subbase.</w:t>
      </w:r>
    </w:p>
    <w:p w14:paraId="35B4AD20" w14:textId="77777777" w:rsidR="002B36F7" w:rsidRPr="00656271" w:rsidRDefault="00656271" w:rsidP="00656271">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The substrate shall be free from loose aggregate or other sharp protrusions</w:t>
      </w:r>
      <w:r w:rsidR="002802F0" w:rsidRPr="002802F0">
        <w:rPr>
          <w:rFonts w:ascii="Arial" w:hAnsi="Arial" w:cs="Arial"/>
          <w:sz w:val="18"/>
          <w:szCs w:val="18"/>
        </w:rPr>
        <w:t>.</w:t>
      </w:r>
    </w:p>
    <w:p w14:paraId="6F6269EE" w14:textId="77777777" w:rsidR="00B03F50" w:rsidRPr="00F9076F" w:rsidRDefault="00B03F50" w:rsidP="00B03F50">
      <w:pPr>
        <w:autoSpaceDE w:val="0"/>
        <w:autoSpaceDN w:val="0"/>
        <w:adjustRightInd w:val="0"/>
        <w:spacing w:after="0" w:line="240" w:lineRule="auto"/>
        <w:rPr>
          <w:rFonts w:ascii="ArialMT" w:hAnsi="ArialMT" w:cs="ArialMT"/>
          <w:sz w:val="18"/>
          <w:szCs w:val="18"/>
        </w:rPr>
      </w:pPr>
    </w:p>
    <w:p w14:paraId="2D86D057" w14:textId="77777777" w:rsidR="00B03F50" w:rsidRPr="00880AFB" w:rsidRDefault="00B03F50" w:rsidP="00B03F50">
      <w:pPr>
        <w:spacing w:after="0" w:line="240" w:lineRule="auto"/>
        <w:rPr>
          <w:rFonts w:ascii="Arial" w:hAnsi="Arial" w:cs="Arial"/>
          <w:b/>
          <w:sz w:val="18"/>
          <w:szCs w:val="18"/>
          <w:lang w:val="en-GB"/>
        </w:rPr>
      </w:pPr>
      <w:r w:rsidRPr="00880AFB">
        <w:rPr>
          <w:rFonts w:ascii="Arial" w:hAnsi="Arial" w:cs="Arial"/>
          <w:b/>
          <w:sz w:val="18"/>
          <w:szCs w:val="18"/>
          <w:lang w:val="en-GB"/>
        </w:rPr>
        <w:t>1.</w:t>
      </w:r>
      <w:r w:rsidR="00A9051A">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b/>
          <w:sz w:val="18"/>
          <w:szCs w:val="18"/>
          <w:lang w:val="en-GB"/>
        </w:rPr>
        <w:tab/>
      </w:r>
      <w:r w:rsidR="002802F0">
        <w:rPr>
          <w:rFonts w:ascii="Arial" w:hAnsi="Arial" w:cs="Arial"/>
          <w:b/>
          <w:sz w:val="18"/>
          <w:szCs w:val="18"/>
          <w:lang w:val="en-GB"/>
        </w:rPr>
        <w:t>Waterproofing Membrane</w:t>
      </w:r>
    </w:p>
    <w:p w14:paraId="27F35D44" w14:textId="77777777" w:rsidR="002802F0" w:rsidRPr="00656271" w:rsidRDefault="00A9051A" w:rsidP="00656271">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2802F0" w:rsidRPr="002802F0">
        <w:rPr>
          <w:rFonts w:ascii="Arial" w:hAnsi="Arial" w:cs="Arial"/>
          <w:sz w:val="18"/>
          <w:szCs w:val="18"/>
        </w:rPr>
        <w:t xml:space="preserve">The waterproofing membrane is to be a </w:t>
      </w:r>
      <w:r w:rsidR="00656271">
        <w:rPr>
          <w:rFonts w:ascii="Arial" w:hAnsi="Arial" w:cs="Arial"/>
          <w:sz w:val="18"/>
          <w:szCs w:val="18"/>
        </w:rPr>
        <w:t>0.8</w:t>
      </w:r>
      <w:r w:rsidR="00A56570">
        <w:rPr>
          <w:rFonts w:ascii="Arial" w:hAnsi="Arial" w:cs="Arial"/>
          <w:sz w:val="18"/>
          <w:szCs w:val="18"/>
        </w:rPr>
        <w:t xml:space="preserve">mm thick </w:t>
      </w:r>
      <w:r w:rsidR="00656271">
        <w:rPr>
          <w:rFonts w:ascii="Arial" w:hAnsi="Arial" w:cs="Arial"/>
          <w:sz w:val="18"/>
          <w:szCs w:val="18"/>
        </w:rPr>
        <w:t>PE/PP</w:t>
      </w:r>
      <w:r w:rsidR="00C83AA9">
        <w:rPr>
          <w:rFonts w:ascii="Arial" w:hAnsi="Arial" w:cs="Arial"/>
          <w:sz w:val="18"/>
          <w:szCs w:val="18"/>
        </w:rPr>
        <w:t xml:space="preserve"> sheet incorporating </w:t>
      </w:r>
      <w:r w:rsidR="00A56570">
        <w:rPr>
          <w:rFonts w:ascii="Arial" w:hAnsi="Arial" w:cs="Arial"/>
          <w:sz w:val="18"/>
          <w:szCs w:val="18"/>
        </w:rPr>
        <w:t xml:space="preserve">a </w:t>
      </w:r>
      <w:r w:rsidR="00656271">
        <w:rPr>
          <w:rFonts w:ascii="Arial" w:hAnsi="Arial" w:cs="Arial"/>
          <w:sz w:val="18"/>
          <w:szCs w:val="18"/>
        </w:rPr>
        <w:t xml:space="preserve">cell </w:t>
      </w:r>
      <w:r w:rsidR="00DC585B">
        <w:rPr>
          <w:rFonts w:ascii="Arial" w:hAnsi="Arial" w:cs="Arial"/>
          <w:sz w:val="18"/>
          <w:szCs w:val="18"/>
        </w:rPr>
        <w:t>mesh</w:t>
      </w:r>
      <w:r w:rsidR="00656271">
        <w:rPr>
          <w:rFonts w:ascii="Arial" w:hAnsi="Arial" w:cs="Arial"/>
          <w:sz w:val="18"/>
          <w:szCs w:val="18"/>
        </w:rPr>
        <w:t xml:space="preserve"> (</w:t>
      </w:r>
      <w:r w:rsidR="0066511C">
        <w:rPr>
          <w:rFonts w:ascii="Arial" w:hAnsi="Arial" w:cs="Arial"/>
          <w:sz w:val="18"/>
          <w:szCs w:val="18"/>
        </w:rPr>
        <w:t xml:space="preserve">total </w:t>
      </w:r>
      <w:r w:rsidR="0066511C">
        <w:rPr>
          <w:rFonts w:ascii="Arial" w:hAnsi="Arial" w:cs="Arial"/>
          <w:sz w:val="18"/>
          <w:szCs w:val="18"/>
        </w:rPr>
        <w:tab/>
        <w:t>product thickness &gt;4mm)</w:t>
      </w:r>
      <w:r w:rsidR="00DC585B">
        <w:rPr>
          <w:rFonts w:ascii="Arial" w:hAnsi="Arial" w:cs="Arial"/>
          <w:sz w:val="18"/>
          <w:szCs w:val="18"/>
        </w:rPr>
        <w:t xml:space="preserve"> </w:t>
      </w:r>
      <w:r w:rsidR="00656271">
        <w:rPr>
          <w:rFonts w:ascii="ArialMT" w:hAnsi="ArialMT" w:cs="ArialMT"/>
          <w:sz w:val="18"/>
          <w:szCs w:val="18"/>
        </w:rPr>
        <w:t>enabling the membrane to mechanically bond with the poured concrete</w:t>
      </w:r>
      <w:r w:rsidR="002802F0" w:rsidRPr="002802F0">
        <w:rPr>
          <w:rFonts w:ascii="Arial" w:hAnsi="Arial" w:cs="Arial"/>
          <w:sz w:val="18"/>
          <w:szCs w:val="18"/>
        </w:rPr>
        <w:t>.</w:t>
      </w:r>
    </w:p>
    <w:p w14:paraId="3E4DD45E" w14:textId="77777777" w:rsidR="007B7189" w:rsidRPr="00FC0650" w:rsidRDefault="002802F0" w:rsidP="008C073C">
      <w:pPr>
        <w:spacing w:before="120" w:after="60"/>
        <w:rPr>
          <w:rFonts w:ascii="Arial" w:hAnsi="Arial" w:cs="Arial"/>
          <w:sz w:val="18"/>
          <w:szCs w:val="18"/>
        </w:rPr>
      </w:pPr>
      <w:r>
        <w:rPr>
          <w:rFonts w:ascii="Arial" w:hAnsi="Arial" w:cs="Arial"/>
          <w:sz w:val="18"/>
          <w:szCs w:val="18"/>
        </w:rPr>
        <w:tab/>
      </w:r>
      <w:r w:rsidRPr="002802F0">
        <w:rPr>
          <w:rFonts w:ascii="Arial" w:hAnsi="Arial" w:cs="Arial"/>
          <w:sz w:val="18"/>
          <w:szCs w:val="18"/>
        </w:rPr>
        <w:t>It shall exhibit the following properties: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1"/>
      </w:tblGrid>
      <w:tr w:rsidR="00562D7F" w:rsidRPr="005522DF" w14:paraId="55C43150" w14:textId="77777777" w:rsidTr="008C073C">
        <w:trPr>
          <w:trHeight w:val="510"/>
        </w:trPr>
        <w:tc>
          <w:tcPr>
            <w:tcW w:w="4536" w:type="dxa"/>
            <w:vAlign w:val="center"/>
          </w:tcPr>
          <w:p w14:paraId="4AD8EBBF" w14:textId="77777777" w:rsidR="00562D7F" w:rsidRPr="008C073C" w:rsidRDefault="0066511C" w:rsidP="00371440">
            <w:pPr>
              <w:autoSpaceDE w:val="0"/>
              <w:autoSpaceDN w:val="0"/>
              <w:adjustRightInd w:val="0"/>
              <w:spacing w:before="60" w:after="60" w:line="240" w:lineRule="auto"/>
              <w:rPr>
                <w:rFonts w:ascii="Arial" w:hAnsi="Arial" w:cs="Arial"/>
                <w:b/>
                <w:bCs/>
                <w:sz w:val="18"/>
                <w:szCs w:val="18"/>
              </w:rPr>
            </w:pPr>
            <w:r w:rsidRPr="008C073C">
              <w:rPr>
                <w:rFonts w:ascii="Arial" w:hAnsi="Arial" w:cs="Arial"/>
                <w:b/>
                <w:bCs/>
                <w:sz w:val="18"/>
                <w:szCs w:val="18"/>
              </w:rPr>
              <w:t>Tensile</w:t>
            </w:r>
            <w:r w:rsidR="00A56570" w:rsidRPr="008C073C">
              <w:rPr>
                <w:rFonts w:ascii="Arial" w:hAnsi="Arial" w:cs="Arial"/>
                <w:b/>
                <w:bCs/>
                <w:sz w:val="18"/>
                <w:szCs w:val="18"/>
              </w:rPr>
              <w:t xml:space="preserve"> </w:t>
            </w:r>
            <w:r w:rsidR="00C33F7B" w:rsidRPr="008C073C">
              <w:rPr>
                <w:rFonts w:ascii="Arial" w:hAnsi="Arial" w:cs="Arial"/>
                <w:b/>
                <w:bCs/>
                <w:sz w:val="18"/>
                <w:szCs w:val="18"/>
              </w:rPr>
              <w:t>S</w:t>
            </w:r>
            <w:r w:rsidR="00A56570" w:rsidRPr="008C073C">
              <w:rPr>
                <w:rFonts w:ascii="Arial" w:hAnsi="Arial" w:cs="Arial"/>
                <w:b/>
                <w:bCs/>
                <w:sz w:val="18"/>
                <w:szCs w:val="18"/>
              </w:rPr>
              <w:t xml:space="preserve">trength </w:t>
            </w:r>
            <w:r w:rsidRPr="008C073C">
              <w:rPr>
                <w:rFonts w:ascii="Arial" w:hAnsi="Arial" w:cs="Arial"/>
                <w:b/>
                <w:bCs/>
                <w:sz w:val="18"/>
                <w:szCs w:val="18"/>
              </w:rPr>
              <w:t xml:space="preserve">sheet only </w:t>
            </w:r>
            <w:r w:rsidR="00A56570" w:rsidRPr="008C073C">
              <w:rPr>
                <w:rFonts w:ascii="Arial" w:hAnsi="Arial" w:cs="Arial"/>
                <w:b/>
                <w:bCs/>
                <w:sz w:val="18"/>
                <w:szCs w:val="18"/>
              </w:rPr>
              <w:t>(</w:t>
            </w:r>
            <w:r w:rsidRPr="008C073C">
              <w:rPr>
                <w:rFonts w:ascii="Arial" w:hAnsi="Arial" w:cs="Arial"/>
                <w:b/>
                <w:bCs/>
                <w:sz w:val="18"/>
                <w:szCs w:val="18"/>
              </w:rPr>
              <w:t>EN 12311-2</w:t>
            </w:r>
            <w:r w:rsidR="00A56570" w:rsidRPr="008C073C">
              <w:rPr>
                <w:rFonts w:ascii="Arial" w:hAnsi="Arial" w:cs="Arial"/>
                <w:b/>
                <w:bCs/>
                <w:sz w:val="18"/>
                <w:szCs w:val="18"/>
              </w:rPr>
              <w:t>)</w:t>
            </w:r>
            <w:r w:rsidR="00562D7F" w:rsidRPr="008C073C">
              <w:rPr>
                <w:rFonts w:ascii="Arial" w:hAnsi="Arial" w:cs="Arial"/>
                <w:b/>
                <w:bCs/>
                <w:sz w:val="18"/>
                <w:szCs w:val="18"/>
              </w:rPr>
              <w:t>:</w:t>
            </w:r>
          </w:p>
        </w:tc>
        <w:tc>
          <w:tcPr>
            <w:tcW w:w="2551" w:type="dxa"/>
            <w:vAlign w:val="center"/>
          </w:tcPr>
          <w:p w14:paraId="7ED8D0CE" w14:textId="77777777" w:rsidR="00562D7F" w:rsidRPr="0066511C" w:rsidRDefault="0066511C" w:rsidP="001A1AB6">
            <w:pPr>
              <w:autoSpaceDE w:val="0"/>
              <w:autoSpaceDN w:val="0"/>
              <w:adjustRightInd w:val="0"/>
              <w:spacing w:after="0" w:line="240" w:lineRule="auto"/>
              <w:rPr>
                <w:rFonts w:ascii="Arial" w:hAnsi="Arial" w:cs="Arial"/>
                <w:sz w:val="18"/>
                <w:szCs w:val="18"/>
                <w:vertAlign w:val="superscript"/>
              </w:rPr>
            </w:pPr>
            <w:r w:rsidRPr="0066511C">
              <w:rPr>
                <w:rFonts w:ascii="Arial" w:hAnsi="Arial" w:cs="Arial"/>
                <w:sz w:val="18"/>
                <w:szCs w:val="18"/>
              </w:rPr>
              <w:t xml:space="preserve">Transverse: </w:t>
            </w:r>
            <w:r w:rsidR="00DC585B" w:rsidRPr="0066511C">
              <w:rPr>
                <w:rFonts w:ascii="Arial" w:hAnsi="Arial" w:cs="Arial"/>
                <w:sz w:val="18"/>
                <w:szCs w:val="18"/>
              </w:rPr>
              <w:t>&gt;</w:t>
            </w:r>
            <w:r w:rsidRPr="0066511C">
              <w:rPr>
                <w:rFonts w:ascii="Arial" w:hAnsi="Arial" w:cs="Arial"/>
                <w:sz w:val="18"/>
                <w:szCs w:val="18"/>
              </w:rPr>
              <w:t>10</w:t>
            </w:r>
            <w:r w:rsidR="00A56570" w:rsidRPr="0066511C">
              <w:rPr>
                <w:rFonts w:ascii="Arial" w:hAnsi="Arial" w:cs="Arial"/>
                <w:sz w:val="18"/>
                <w:szCs w:val="18"/>
              </w:rPr>
              <w:t xml:space="preserve"> N/mm</w:t>
            </w:r>
            <w:r w:rsidRPr="0066511C">
              <w:rPr>
                <w:rFonts w:ascii="Arial" w:hAnsi="Arial" w:cs="Arial"/>
                <w:sz w:val="18"/>
                <w:szCs w:val="18"/>
                <w:vertAlign w:val="superscript"/>
              </w:rPr>
              <w:t>2</w:t>
            </w:r>
          </w:p>
          <w:p w14:paraId="5ECF678B" w14:textId="77777777" w:rsidR="0066511C" w:rsidRPr="0066511C" w:rsidRDefault="0066511C" w:rsidP="001A1AB6">
            <w:pPr>
              <w:autoSpaceDE w:val="0"/>
              <w:autoSpaceDN w:val="0"/>
              <w:adjustRightInd w:val="0"/>
              <w:spacing w:after="0" w:line="240" w:lineRule="auto"/>
              <w:rPr>
                <w:rFonts w:ascii="Arial" w:hAnsi="Arial" w:cs="Arial"/>
                <w:sz w:val="18"/>
                <w:szCs w:val="18"/>
              </w:rPr>
            </w:pPr>
            <w:r w:rsidRPr="0066511C">
              <w:rPr>
                <w:rFonts w:ascii="Arial" w:hAnsi="Arial" w:cs="Arial"/>
                <w:sz w:val="18"/>
                <w:szCs w:val="18"/>
              </w:rPr>
              <w:t>Longitudinal: &gt;18 N/mm</w:t>
            </w:r>
            <w:r w:rsidRPr="0066511C">
              <w:rPr>
                <w:rFonts w:ascii="Arial" w:hAnsi="Arial" w:cs="Arial"/>
                <w:sz w:val="18"/>
                <w:szCs w:val="18"/>
                <w:vertAlign w:val="superscript"/>
              </w:rPr>
              <w:t>2</w:t>
            </w:r>
          </w:p>
        </w:tc>
      </w:tr>
      <w:tr w:rsidR="0066511C" w:rsidRPr="005522DF" w14:paraId="3A6BCDFD" w14:textId="77777777" w:rsidTr="008C073C">
        <w:trPr>
          <w:trHeight w:val="510"/>
        </w:trPr>
        <w:tc>
          <w:tcPr>
            <w:tcW w:w="4536" w:type="dxa"/>
            <w:vAlign w:val="center"/>
          </w:tcPr>
          <w:p w14:paraId="62A4A087" w14:textId="77777777" w:rsidR="0066511C" w:rsidRPr="008C073C" w:rsidRDefault="0066511C" w:rsidP="0066511C">
            <w:pPr>
              <w:autoSpaceDE w:val="0"/>
              <w:autoSpaceDN w:val="0"/>
              <w:adjustRightInd w:val="0"/>
              <w:spacing w:before="60" w:after="60" w:line="240" w:lineRule="auto"/>
              <w:rPr>
                <w:rFonts w:ascii="Arial" w:hAnsi="Arial" w:cs="Arial"/>
                <w:b/>
                <w:bCs/>
                <w:sz w:val="18"/>
                <w:szCs w:val="18"/>
              </w:rPr>
            </w:pPr>
            <w:r w:rsidRPr="008C073C">
              <w:rPr>
                <w:rFonts w:ascii="Arial" w:hAnsi="Arial" w:cs="Arial"/>
                <w:b/>
                <w:bCs/>
                <w:sz w:val="18"/>
                <w:szCs w:val="18"/>
              </w:rPr>
              <w:t>Tensile Strength sheet plus mesh (EN 12311-2):</w:t>
            </w:r>
          </w:p>
        </w:tc>
        <w:tc>
          <w:tcPr>
            <w:tcW w:w="2551" w:type="dxa"/>
            <w:vAlign w:val="center"/>
          </w:tcPr>
          <w:p w14:paraId="60AF4C68" w14:textId="77777777" w:rsidR="0066511C" w:rsidRPr="0066511C" w:rsidRDefault="0066511C" w:rsidP="0066511C">
            <w:pPr>
              <w:autoSpaceDE w:val="0"/>
              <w:autoSpaceDN w:val="0"/>
              <w:adjustRightInd w:val="0"/>
              <w:spacing w:after="0" w:line="240" w:lineRule="auto"/>
              <w:rPr>
                <w:rFonts w:ascii="Arial" w:hAnsi="Arial" w:cs="Arial"/>
                <w:sz w:val="18"/>
                <w:szCs w:val="18"/>
                <w:vertAlign w:val="superscript"/>
              </w:rPr>
            </w:pPr>
            <w:r w:rsidRPr="0066511C">
              <w:rPr>
                <w:rFonts w:ascii="Arial" w:hAnsi="Arial" w:cs="Arial"/>
                <w:sz w:val="18"/>
                <w:szCs w:val="18"/>
              </w:rPr>
              <w:t>Transverse: &gt;</w:t>
            </w:r>
            <w:r>
              <w:rPr>
                <w:rFonts w:ascii="Arial" w:hAnsi="Arial" w:cs="Arial"/>
                <w:sz w:val="18"/>
                <w:szCs w:val="18"/>
              </w:rPr>
              <w:t>7</w:t>
            </w:r>
            <w:r w:rsidRPr="0066511C">
              <w:rPr>
                <w:rFonts w:ascii="Arial" w:hAnsi="Arial" w:cs="Arial"/>
                <w:sz w:val="18"/>
                <w:szCs w:val="18"/>
              </w:rPr>
              <w:t xml:space="preserve"> N/mm</w:t>
            </w:r>
            <w:r w:rsidRPr="0066511C">
              <w:rPr>
                <w:rFonts w:ascii="Arial" w:hAnsi="Arial" w:cs="Arial"/>
                <w:sz w:val="18"/>
                <w:szCs w:val="18"/>
                <w:vertAlign w:val="superscript"/>
              </w:rPr>
              <w:t>2</w:t>
            </w:r>
          </w:p>
          <w:p w14:paraId="40132B2A" w14:textId="77777777" w:rsidR="0066511C" w:rsidRDefault="0066511C" w:rsidP="0066511C">
            <w:pPr>
              <w:autoSpaceDE w:val="0"/>
              <w:autoSpaceDN w:val="0"/>
              <w:adjustRightInd w:val="0"/>
              <w:spacing w:after="0" w:line="240" w:lineRule="auto"/>
              <w:rPr>
                <w:rFonts w:ascii="ArialMT" w:hAnsi="ArialMT" w:cs="ArialMT"/>
                <w:sz w:val="18"/>
                <w:szCs w:val="18"/>
              </w:rPr>
            </w:pPr>
            <w:r w:rsidRPr="0066511C">
              <w:rPr>
                <w:rFonts w:ascii="Arial" w:hAnsi="Arial" w:cs="Arial"/>
                <w:sz w:val="18"/>
                <w:szCs w:val="18"/>
              </w:rPr>
              <w:t>Longitudinal: &gt;</w:t>
            </w:r>
            <w:r>
              <w:rPr>
                <w:rFonts w:ascii="Arial" w:hAnsi="Arial" w:cs="Arial"/>
                <w:sz w:val="18"/>
                <w:szCs w:val="18"/>
              </w:rPr>
              <w:t>9</w:t>
            </w:r>
            <w:r w:rsidRPr="0066511C">
              <w:rPr>
                <w:rFonts w:ascii="Arial" w:hAnsi="Arial" w:cs="Arial"/>
                <w:sz w:val="18"/>
                <w:szCs w:val="18"/>
              </w:rPr>
              <w:t xml:space="preserve"> N/mm</w:t>
            </w:r>
            <w:r w:rsidRPr="0066511C">
              <w:rPr>
                <w:rFonts w:ascii="Arial" w:hAnsi="Arial" w:cs="Arial"/>
                <w:sz w:val="18"/>
                <w:szCs w:val="18"/>
                <w:vertAlign w:val="superscript"/>
              </w:rPr>
              <w:t>2</w:t>
            </w:r>
          </w:p>
        </w:tc>
      </w:tr>
      <w:tr w:rsidR="0066511C" w:rsidRPr="005522DF" w14:paraId="00C482D2" w14:textId="77777777" w:rsidTr="008C073C">
        <w:trPr>
          <w:trHeight w:val="510"/>
        </w:trPr>
        <w:tc>
          <w:tcPr>
            <w:tcW w:w="4536" w:type="dxa"/>
            <w:vAlign w:val="center"/>
          </w:tcPr>
          <w:p w14:paraId="54CA33AF" w14:textId="77777777" w:rsidR="0066511C" w:rsidRPr="008C073C" w:rsidRDefault="0066511C" w:rsidP="0066511C">
            <w:pPr>
              <w:autoSpaceDE w:val="0"/>
              <w:autoSpaceDN w:val="0"/>
              <w:adjustRightInd w:val="0"/>
              <w:spacing w:before="60" w:after="60" w:line="240" w:lineRule="auto"/>
              <w:rPr>
                <w:rFonts w:ascii="Arial" w:hAnsi="Arial" w:cs="Arial"/>
                <w:b/>
                <w:sz w:val="18"/>
                <w:szCs w:val="18"/>
              </w:rPr>
            </w:pPr>
            <w:r w:rsidRPr="008C073C">
              <w:rPr>
                <w:rFonts w:ascii="Arial" w:hAnsi="Arial" w:cs="Arial"/>
                <w:b/>
                <w:bCs/>
                <w:sz w:val="18"/>
                <w:szCs w:val="18"/>
              </w:rPr>
              <w:t xml:space="preserve">Elongation at Break sheet only (EN12311-2): </w:t>
            </w:r>
          </w:p>
        </w:tc>
        <w:tc>
          <w:tcPr>
            <w:tcW w:w="2551" w:type="dxa"/>
            <w:vAlign w:val="center"/>
          </w:tcPr>
          <w:p w14:paraId="6C2D9311" w14:textId="77777777" w:rsidR="0066511C" w:rsidRPr="0066511C" w:rsidRDefault="0066511C" w:rsidP="0066511C">
            <w:pPr>
              <w:autoSpaceDE w:val="0"/>
              <w:autoSpaceDN w:val="0"/>
              <w:adjustRightInd w:val="0"/>
              <w:spacing w:after="0" w:line="240" w:lineRule="auto"/>
              <w:rPr>
                <w:rFonts w:ascii="Arial" w:hAnsi="Arial" w:cs="Arial"/>
                <w:sz w:val="18"/>
                <w:szCs w:val="18"/>
                <w:vertAlign w:val="superscript"/>
              </w:rPr>
            </w:pPr>
            <w:r w:rsidRPr="0066511C">
              <w:rPr>
                <w:rFonts w:ascii="Arial" w:hAnsi="Arial" w:cs="Arial"/>
                <w:sz w:val="18"/>
                <w:szCs w:val="18"/>
              </w:rPr>
              <w:t>Transverse: &gt;</w:t>
            </w:r>
            <w:r>
              <w:rPr>
                <w:rFonts w:ascii="Arial" w:hAnsi="Arial" w:cs="Arial"/>
                <w:sz w:val="18"/>
                <w:szCs w:val="18"/>
              </w:rPr>
              <w:t>600%</w:t>
            </w:r>
          </w:p>
          <w:p w14:paraId="2B6FF2DB" w14:textId="77777777" w:rsidR="0066511C" w:rsidRPr="001A1AB6" w:rsidRDefault="0066511C" w:rsidP="0066511C">
            <w:pPr>
              <w:autoSpaceDE w:val="0"/>
              <w:autoSpaceDN w:val="0"/>
              <w:adjustRightInd w:val="0"/>
              <w:spacing w:after="0" w:line="240" w:lineRule="auto"/>
              <w:rPr>
                <w:rFonts w:ascii="ArialMT" w:hAnsi="ArialMT" w:cs="ArialMT"/>
                <w:sz w:val="16"/>
                <w:szCs w:val="16"/>
              </w:rPr>
            </w:pPr>
            <w:r w:rsidRPr="0066511C">
              <w:rPr>
                <w:rFonts w:ascii="Arial" w:hAnsi="Arial" w:cs="Arial"/>
                <w:sz w:val="18"/>
                <w:szCs w:val="18"/>
              </w:rPr>
              <w:t>Longitudinal: &gt;</w:t>
            </w:r>
            <w:r w:rsidR="00416AD7">
              <w:rPr>
                <w:rFonts w:ascii="Arial" w:hAnsi="Arial" w:cs="Arial"/>
                <w:sz w:val="18"/>
                <w:szCs w:val="18"/>
              </w:rPr>
              <w:t>800%</w:t>
            </w:r>
          </w:p>
        </w:tc>
      </w:tr>
      <w:tr w:rsidR="00416AD7" w:rsidRPr="005522DF" w14:paraId="5E96E99B" w14:textId="77777777" w:rsidTr="008C073C">
        <w:trPr>
          <w:trHeight w:val="510"/>
        </w:trPr>
        <w:tc>
          <w:tcPr>
            <w:tcW w:w="4536" w:type="dxa"/>
            <w:vAlign w:val="center"/>
          </w:tcPr>
          <w:p w14:paraId="0DDB5BCD" w14:textId="77777777" w:rsidR="00416AD7" w:rsidRPr="008C073C" w:rsidRDefault="00416AD7" w:rsidP="00416AD7">
            <w:pPr>
              <w:autoSpaceDE w:val="0"/>
              <w:autoSpaceDN w:val="0"/>
              <w:adjustRightInd w:val="0"/>
              <w:spacing w:before="60" w:after="60" w:line="240" w:lineRule="auto"/>
              <w:rPr>
                <w:rFonts w:ascii="Arial" w:hAnsi="Arial" w:cs="Arial"/>
                <w:b/>
                <w:sz w:val="18"/>
                <w:szCs w:val="18"/>
              </w:rPr>
            </w:pPr>
            <w:r w:rsidRPr="008C073C">
              <w:rPr>
                <w:rFonts w:ascii="Arial" w:hAnsi="Arial" w:cs="Arial"/>
                <w:b/>
                <w:bCs/>
                <w:sz w:val="18"/>
                <w:szCs w:val="18"/>
              </w:rPr>
              <w:t xml:space="preserve">Elongation at Break sheet plus mesh (EN12311-2): </w:t>
            </w:r>
          </w:p>
        </w:tc>
        <w:tc>
          <w:tcPr>
            <w:tcW w:w="2551" w:type="dxa"/>
            <w:vAlign w:val="center"/>
          </w:tcPr>
          <w:p w14:paraId="335D9314" w14:textId="77777777" w:rsidR="00416AD7" w:rsidRPr="0066511C" w:rsidRDefault="00416AD7" w:rsidP="00416AD7">
            <w:pPr>
              <w:autoSpaceDE w:val="0"/>
              <w:autoSpaceDN w:val="0"/>
              <w:adjustRightInd w:val="0"/>
              <w:spacing w:after="0" w:line="240" w:lineRule="auto"/>
              <w:rPr>
                <w:rFonts w:ascii="Arial" w:hAnsi="Arial" w:cs="Arial"/>
                <w:sz w:val="18"/>
                <w:szCs w:val="18"/>
                <w:vertAlign w:val="superscript"/>
              </w:rPr>
            </w:pPr>
            <w:r w:rsidRPr="0066511C">
              <w:rPr>
                <w:rFonts w:ascii="Arial" w:hAnsi="Arial" w:cs="Arial"/>
                <w:sz w:val="18"/>
                <w:szCs w:val="18"/>
              </w:rPr>
              <w:t>Transverse: &gt;</w:t>
            </w:r>
            <w:r>
              <w:rPr>
                <w:rFonts w:ascii="Arial" w:hAnsi="Arial" w:cs="Arial"/>
                <w:sz w:val="18"/>
                <w:szCs w:val="18"/>
              </w:rPr>
              <w:t>120%</w:t>
            </w:r>
          </w:p>
          <w:p w14:paraId="27E02FCF" w14:textId="77777777" w:rsidR="00416AD7" w:rsidRPr="001A1AB6" w:rsidRDefault="00416AD7" w:rsidP="00416AD7">
            <w:pPr>
              <w:autoSpaceDE w:val="0"/>
              <w:autoSpaceDN w:val="0"/>
              <w:adjustRightInd w:val="0"/>
              <w:spacing w:after="0" w:line="240" w:lineRule="auto"/>
              <w:rPr>
                <w:rFonts w:ascii="ArialMT" w:hAnsi="ArialMT" w:cs="ArialMT"/>
                <w:sz w:val="16"/>
                <w:szCs w:val="16"/>
              </w:rPr>
            </w:pPr>
            <w:r w:rsidRPr="0066511C">
              <w:rPr>
                <w:rFonts w:ascii="Arial" w:hAnsi="Arial" w:cs="Arial"/>
                <w:sz w:val="18"/>
                <w:szCs w:val="18"/>
              </w:rPr>
              <w:t>Longitudinal: &gt;</w:t>
            </w:r>
            <w:r>
              <w:rPr>
                <w:rFonts w:ascii="Arial" w:hAnsi="Arial" w:cs="Arial"/>
                <w:sz w:val="18"/>
                <w:szCs w:val="18"/>
              </w:rPr>
              <w:t>140%</w:t>
            </w:r>
          </w:p>
        </w:tc>
      </w:tr>
      <w:tr w:rsidR="0066511C" w:rsidRPr="005522DF" w14:paraId="5F6B170C" w14:textId="77777777" w:rsidTr="008C073C">
        <w:tc>
          <w:tcPr>
            <w:tcW w:w="4536" w:type="dxa"/>
            <w:vAlign w:val="center"/>
          </w:tcPr>
          <w:p w14:paraId="5E8CD9DA" w14:textId="77777777" w:rsidR="0066511C" w:rsidRPr="008C073C" w:rsidRDefault="00416AD7" w:rsidP="0066511C">
            <w:pPr>
              <w:autoSpaceDE w:val="0"/>
              <w:autoSpaceDN w:val="0"/>
              <w:adjustRightInd w:val="0"/>
              <w:spacing w:before="60" w:after="60" w:line="240" w:lineRule="auto"/>
              <w:rPr>
                <w:rFonts w:ascii="Arial" w:hAnsi="Arial" w:cs="Arial"/>
                <w:b/>
                <w:bCs/>
                <w:sz w:val="18"/>
                <w:szCs w:val="18"/>
              </w:rPr>
            </w:pPr>
            <w:r w:rsidRPr="008C073C">
              <w:rPr>
                <w:rFonts w:ascii="Arial" w:hAnsi="Arial" w:cs="Arial"/>
                <w:b/>
                <w:bCs/>
                <w:sz w:val="18"/>
                <w:szCs w:val="18"/>
              </w:rPr>
              <w:t>Crack Bridging</w:t>
            </w:r>
            <w:r w:rsidR="0066511C" w:rsidRPr="008C073C">
              <w:rPr>
                <w:rFonts w:ascii="Arial" w:hAnsi="Arial" w:cs="Arial"/>
                <w:b/>
                <w:bCs/>
                <w:sz w:val="18"/>
                <w:szCs w:val="18"/>
              </w:rPr>
              <w:t xml:space="preserve"> (ASTM </w:t>
            </w:r>
            <w:r w:rsidRPr="008C073C">
              <w:rPr>
                <w:rFonts w:ascii="Arial" w:hAnsi="Arial" w:cs="Arial"/>
                <w:b/>
                <w:bCs/>
                <w:sz w:val="18"/>
                <w:szCs w:val="18"/>
              </w:rPr>
              <w:t>C1305 modified</w:t>
            </w:r>
            <w:r w:rsidR="0066511C" w:rsidRPr="008C073C">
              <w:rPr>
                <w:rFonts w:ascii="Arial" w:hAnsi="Arial" w:cs="Arial"/>
                <w:b/>
                <w:bCs/>
                <w:sz w:val="18"/>
                <w:szCs w:val="18"/>
              </w:rPr>
              <w:t>):</w:t>
            </w:r>
          </w:p>
        </w:tc>
        <w:tc>
          <w:tcPr>
            <w:tcW w:w="2551" w:type="dxa"/>
            <w:vAlign w:val="center"/>
          </w:tcPr>
          <w:p w14:paraId="5C8E6FFD" w14:textId="77777777" w:rsidR="0066511C" w:rsidRPr="001A1AB6" w:rsidRDefault="00416AD7" w:rsidP="0066511C">
            <w:pPr>
              <w:autoSpaceDE w:val="0"/>
              <w:autoSpaceDN w:val="0"/>
              <w:adjustRightInd w:val="0"/>
              <w:spacing w:after="0" w:line="240" w:lineRule="auto"/>
              <w:rPr>
                <w:rFonts w:ascii="Arial" w:hAnsi="Arial" w:cs="Arial"/>
                <w:sz w:val="16"/>
                <w:szCs w:val="16"/>
              </w:rPr>
            </w:pPr>
            <w:r>
              <w:rPr>
                <w:rFonts w:ascii="Arial" w:hAnsi="Arial" w:cs="Arial"/>
                <w:sz w:val="16"/>
                <w:szCs w:val="16"/>
              </w:rPr>
              <w:t>Up to 5mm (100 cycles)</w:t>
            </w:r>
          </w:p>
        </w:tc>
      </w:tr>
      <w:tr w:rsidR="0066511C" w:rsidRPr="005522DF" w14:paraId="2A7BEE2A" w14:textId="77777777" w:rsidTr="008C073C">
        <w:trPr>
          <w:trHeight w:val="283"/>
        </w:trPr>
        <w:tc>
          <w:tcPr>
            <w:tcW w:w="4536" w:type="dxa"/>
            <w:vAlign w:val="center"/>
          </w:tcPr>
          <w:p w14:paraId="2A6014E8" w14:textId="77777777" w:rsidR="0066511C" w:rsidRPr="008C073C" w:rsidRDefault="00416AD7" w:rsidP="00416AD7">
            <w:pPr>
              <w:autoSpaceDE w:val="0"/>
              <w:autoSpaceDN w:val="0"/>
              <w:adjustRightInd w:val="0"/>
              <w:spacing w:after="0" w:line="240" w:lineRule="auto"/>
              <w:rPr>
                <w:rFonts w:ascii="Arial" w:hAnsi="Arial" w:cs="Arial"/>
                <w:b/>
                <w:sz w:val="18"/>
                <w:szCs w:val="18"/>
              </w:rPr>
            </w:pPr>
            <w:r w:rsidRPr="008C073C">
              <w:rPr>
                <w:rFonts w:ascii="Arial" w:hAnsi="Arial" w:cs="Arial"/>
                <w:b/>
                <w:sz w:val="18"/>
                <w:szCs w:val="18"/>
              </w:rPr>
              <w:t>Resistance to Impact (EN 12691 Method A):</w:t>
            </w:r>
          </w:p>
        </w:tc>
        <w:tc>
          <w:tcPr>
            <w:tcW w:w="2551" w:type="dxa"/>
            <w:vAlign w:val="center"/>
          </w:tcPr>
          <w:p w14:paraId="430ED130" w14:textId="77777777" w:rsidR="0066511C" w:rsidRDefault="00416AD7" w:rsidP="0066511C">
            <w:pPr>
              <w:autoSpaceDE w:val="0"/>
              <w:autoSpaceDN w:val="0"/>
              <w:adjustRightInd w:val="0"/>
              <w:spacing w:after="0" w:line="240" w:lineRule="auto"/>
              <w:rPr>
                <w:rFonts w:ascii="Arial" w:hAnsi="Arial" w:cs="Arial"/>
                <w:sz w:val="16"/>
                <w:szCs w:val="16"/>
              </w:rPr>
            </w:pPr>
            <w:r>
              <w:rPr>
                <w:rFonts w:ascii="Arial" w:hAnsi="Arial" w:cs="Arial"/>
                <w:sz w:val="16"/>
                <w:szCs w:val="16"/>
              </w:rPr>
              <w:t>1500mm</w:t>
            </w:r>
          </w:p>
        </w:tc>
      </w:tr>
      <w:tr w:rsidR="0066511C" w:rsidRPr="005522DF" w14:paraId="3DD741C4" w14:textId="77777777" w:rsidTr="008C073C">
        <w:trPr>
          <w:trHeight w:val="283"/>
        </w:trPr>
        <w:tc>
          <w:tcPr>
            <w:tcW w:w="4536" w:type="dxa"/>
            <w:vAlign w:val="center"/>
          </w:tcPr>
          <w:p w14:paraId="6F6C7EEC" w14:textId="77777777" w:rsidR="0066511C" w:rsidRPr="008C073C" w:rsidRDefault="00416AD7" w:rsidP="00416AD7">
            <w:pPr>
              <w:autoSpaceDE w:val="0"/>
              <w:autoSpaceDN w:val="0"/>
              <w:adjustRightInd w:val="0"/>
              <w:spacing w:after="0" w:line="240" w:lineRule="auto"/>
              <w:rPr>
                <w:rFonts w:ascii="Arial" w:hAnsi="Arial" w:cs="Arial"/>
                <w:b/>
                <w:sz w:val="18"/>
                <w:szCs w:val="18"/>
              </w:rPr>
            </w:pPr>
            <w:r w:rsidRPr="008C073C">
              <w:rPr>
                <w:rFonts w:ascii="Arial" w:hAnsi="Arial" w:cs="Arial"/>
                <w:b/>
                <w:sz w:val="18"/>
                <w:szCs w:val="18"/>
              </w:rPr>
              <w:t>Puncture resistance (ASTM E154-08):</w:t>
            </w:r>
          </w:p>
        </w:tc>
        <w:tc>
          <w:tcPr>
            <w:tcW w:w="2551" w:type="dxa"/>
            <w:vAlign w:val="center"/>
          </w:tcPr>
          <w:p w14:paraId="304E1062" w14:textId="77777777" w:rsidR="0066511C" w:rsidRDefault="00416AD7" w:rsidP="0066511C">
            <w:pPr>
              <w:autoSpaceDE w:val="0"/>
              <w:autoSpaceDN w:val="0"/>
              <w:adjustRightInd w:val="0"/>
              <w:spacing w:after="0" w:line="240" w:lineRule="auto"/>
              <w:rPr>
                <w:rFonts w:ascii="Arial" w:hAnsi="Arial" w:cs="Arial"/>
                <w:sz w:val="16"/>
                <w:szCs w:val="16"/>
              </w:rPr>
            </w:pPr>
            <w:r>
              <w:rPr>
                <w:rFonts w:ascii="Arial" w:hAnsi="Arial" w:cs="Arial"/>
                <w:sz w:val="16"/>
                <w:szCs w:val="16"/>
              </w:rPr>
              <w:t>672 N</w:t>
            </w:r>
          </w:p>
        </w:tc>
      </w:tr>
      <w:tr w:rsidR="00416AD7" w:rsidRPr="005522DF" w14:paraId="3B3242BC" w14:textId="77777777" w:rsidTr="008C073C">
        <w:trPr>
          <w:trHeight w:val="283"/>
        </w:trPr>
        <w:tc>
          <w:tcPr>
            <w:tcW w:w="4536" w:type="dxa"/>
            <w:vAlign w:val="center"/>
          </w:tcPr>
          <w:p w14:paraId="0602BE98" w14:textId="77777777" w:rsidR="00416AD7" w:rsidRPr="008C073C" w:rsidRDefault="00416AD7" w:rsidP="00416AD7">
            <w:pPr>
              <w:autoSpaceDE w:val="0"/>
              <w:autoSpaceDN w:val="0"/>
              <w:adjustRightInd w:val="0"/>
              <w:spacing w:after="0" w:line="240" w:lineRule="auto"/>
              <w:rPr>
                <w:rFonts w:ascii="Arial" w:hAnsi="Arial" w:cs="Arial"/>
                <w:b/>
                <w:sz w:val="18"/>
                <w:szCs w:val="18"/>
              </w:rPr>
            </w:pPr>
            <w:r w:rsidRPr="008C073C">
              <w:rPr>
                <w:rFonts w:ascii="Arial" w:hAnsi="Arial" w:cs="Arial"/>
                <w:b/>
                <w:sz w:val="18"/>
                <w:szCs w:val="18"/>
              </w:rPr>
              <w:t xml:space="preserve">Watertightness </w:t>
            </w:r>
            <w:r w:rsidR="008C073C" w:rsidRPr="008C073C">
              <w:rPr>
                <w:rFonts w:ascii="Arial" w:hAnsi="Arial" w:cs="Arial"/>
                <w:b/>
                <w:sz w:val="18"/>
                <w:szCs w:val="18"/>
              </w:rPr>
              <w:t xml:space="preserve">(EN </w:t>
            </w:r>
            <w:r w:rsidR="00605FF5">
              <w:rPr>
                <w:rFonts w:ascii="Arial" w:hAnsi="Arial" w:cs="Arial"/>
                <w:b/>
                <w:sz w:val="18"/>
                <w:szCs w:val="18"/>
              </w:rPr>
              <w:t>1928 Method A</w:t>
            </w:r>
            <w:r w:rsidR="008C073C" w:rsidRPr="008C073C">
              <w:rPr>
                <w:rFonts w:ascii="Arial" w:hAnsi="Arial" w:cs="Arial"/>
                <w:b/>
                <w:sz w:val="18"/>
                <w:szCs w:val="18"/>
              </w:rPr>
              <w:t>):</w:t>
            </w:r>
          </w:p>
        </w:tc>
        <w:tc>
          <w:tcPr>
            <w:tcW w:w="2551" w:type="dxa"/>
            <w:vAlign w:val="center"/>
          </w:tcPr>
          <w:p w14:paraId="32567E26" w14:textId="77777777" w:rsidR="00416AD7" w:rsidRDefault="008C073C" w:rsidP="0066511C">
            <w:pPr>
              <w:autoSpaceDE w:val="0"/>
              <w:autoSpaceDN w:val="0"/>
              <w:adjustRightInd w:val="0"/>
              <w:spacing w:after="0" w:line="240" w:lineRule="auto"/>
              <w:rPr>
                <w:rFonts w:ascii="Arial" w:hAnsi="Arial" w:cs="Arial"/>
                <w:sz w:val="16"/>
                <w:szCs w:val="16"/>
              </w:rPr>
            </w:pPr>
            <w:r>
              <w:rPr>
                <w:rFonts w:ascii="Arial" w:hAnsi="Arial" w:cs="Arial"/>
                <w:sz w:val="16"/>
                <w:szCs w:val="16"/>
              </w:rPr>
              <w:t>Pass</w:t>
            </w:r>
            <w:r w:rsidR="00605FF5">
              <w:rPr>
                <w:rFonts w:ascii="Arial" w:hAnsi="Arial" w:cs="Arial"/>
                <w:sz w:val="16"/>
                <w:szCs w:val="16"/>
              </w:rPr>
              <w:t xml:space="preserve"> @ 6m head</w:t>
            </w:r>
          </w:p>
        </w:tc>
      </w:tr>
      <w:tr w:rsidR="008C073C" w:rsidRPr="005522DF" w14:paraId="449E6379" w14:textId="77777777" w:rsidTr="008C073C">
        <w:trPr>
          <w:trHeight w:val="283"/>
        </w:trPr>
        <w:tc>
          <w:tcPr>
            <w:tcW w:w="4536" w:type="dxa"/>
            <w:vAlign w:val="center"/>
          </w:tcPr>
          <w:p w14:paraId="1236F25A" w14:textId="77777777" w:rsidR="008C073C" w:rsidRPr="008C073C" w:rsidRDefault="008C073C" w:rsidP="008C073C">
            <w:pPr>
              <w:autoSpaceDE w:val="0"/>
              <w:autoSpaceDN w:val="0"/>
              <w:adjustRightInd w:val="0"/>
              <w:spacing w:after="0" w:line="240" w:lineRule="auto"/>
              <w:rPr>
                <w:rFonts w:ascii="Arial" w:hAnsi="Arial" w:cs="Arial"/>
                <w:b/>
                <w:sz w:val="18"/>
                <w:szCs w:val="18"/>
              </w:rPr>
            </w:pPr>
            <w:r w:rsidRPr="008C073C">
              <w:rPr>
                <w:rFonts w:ascii="Arial" w:hAnsi="Arial" w:cs="Arial"/>
                <w:b/>
                <w:sz w:val="18"/>
                <w:szCs w:val="18"/>
              </w:rPr>
              <w:t>Watertightness to liquid (ASTM D5385):</w:t>
            </w:r>
          </w:p>
        </w:tc>
        <w:tc>
          <w:tcPr>
            <w:tcW w:w="2551" w:type="dxa"/>
            <w:vAlign w:val="center"/>
          </w:tcPr>
          <w:p w14:paraId="60FC282E" w14:textId="77777777" w:rsidR="008C073C" w:rsidRDefault="008C073C" w:rsidP="008C073C">
            <w:pPr>
              <w:autoSpaceDE w:val="0"/>
              <w:autoSpaceDN w:val="0"/>
              <w:adjustRightInd w:val="0"/>
              <w:spacing w:after="0" w:line="240" w:lineRule="auto"/>
              <w:rPr>
                <w:rFonts w:ascii="Arial" w:hAnsi="Arial" w:cs="Arial"/>
                <w:sz w:val="16"/>
                <w:szCs w:val="16"/>
              </w:rPr>
            </w:pPr>
            <w:r>
              <w:rPr>
                <w:rFonts w:ascii="Arial" w:hAnsi="Arial" w:cs="Arial"/>
                <w:sz w:val="16"/>
                <w:szCs w:val="16"/>
              </w:rPr>
              <w:t>Pass @ 69m</w:t>
            </w:r>
          </w:p>
        </w:tc>
      </w:tr>
      <w:tr w:rsidR="008C073C" w:rsidRPr="005522DF" w14:paraId="0FAAB2A0" w14:textId="77777777" w:rsidTr="008C073C">
        <w:trPr>
          <w:trHeight w:val="454"/>
        </w:trPr>
        <w:tc>
          <w:tcPr>
            <w:tcW w:w="4536" w:type="dxa"/>
            <w:vAlign w:val="center"/>
          </w:tcPr>
          <w:p w14:paraId="0B5AEEFA" w14:textId="77777777" w:rsidR="008C073C" w:rsidRPr="008C073C" w:rsidRDefault="008C073C" w:rsidP="008C073C">
            <w:pPr>
              <w:autoSpaceDE w:val="0"/>
              <w:autoSpaceDN w:val="0"/>
              <w:adjustRightInd w:val="0"/>
              <w:spacing w:after="0" w:line="240" w:lineRule="auto"/>
              <w:rPr>
                <w:rFonts w:ascii="Arial" w:hAnsi="Arial" w:cs="Arial"/>
                <w:b/>
                <w:sz w:val="18"/>
                <w:szCs w:val="18"/>
              </w:rPr>
            </w:pPr>
            <w:r w:rsidRPr="008C073C">
              <w:rPr>
                <w:rFonts w:ascii="Arial" w:hAnsi="Arial" w:cs="Arial"/>
                <w:b/>
                <w:sz w:val="18"/>
                <w:szCs w:val="18"/>
              </w:rPr>
              <w:t xml:space="preserve">Durability of watertightness against ageing                                   </w:t>
            </w:r>
            <w:proofErr w:type="gramStart"/>
            <w:r w:rsidRPr="008C073C">
              <w:rPr>
                <w:rFonts w:ascii="Arial" w:hAnsi="Arial" w:cs="Arial"/>
                <w:b/>
                <w:sz w:val="18"/>
                <w:szCs w:val="18"/>
              </w:rPr>
              <w:t xml:space="preserve">   (</w:t>
            </w:r>
            <w:proofErr w:type="gramEnd"/>
            <w:r w:rsidRPr="008C073C">
              <w:rPr>
                <w:rFonts w:ascii="Arial" w:hAnsi="Arial" w:cs="Arial"/>
                <w:b/>
                <w:sz w:val="18"/>
                <w:szCs w:val="18"/>
              </w:rPr>
              <w:t>EN 1296 / EN1928):</w:t>
            </w:r>
          </w:p>
        </w:tc>
        <w:tc>
          <w:tcPr>
            <w:tcW w:w="2551" w:type="dxa"/>
            <w:vAlign w:val="center"/>
          </w:tcPr>
          <w:p w14:paraId="3A8EB461" w14:textId="77777777" w:rsidR="008C073C" w:rsidRDefault="008C073C" w:rsidP="008C073C">
            <w:pPr>
              <w:autoSpaceDE w:val="0"/>
              <w:autoSpaceDN w:val="0"/>
              <w:adjustRightInd w:val="0"/>
              <w:spacing w:after="0" w:line="240" w:lineRule="auto"/>
              <w:rPr>
                <w:rFonts w:ascii="Arial" w:hAnsi="Arial" w:cs="Arial"/>
                <w:sz w:val="16"/>
                <w:szCs w:val="16"/>
              </w:rPr>
            </w:pPr>
            <w:r>
              <w:rPr>
                <w:rFonts w:ascii="Arial" w:hAnsi="Arial" w:cs="Arial"/>
                <w:sz w:val="16"/>
                <w:szCs w:val="16"/>
              </w:rPr>
              <w:t>Pass</w:t>
            </w:r>
          </w:p>
        </w:tc>
      </w:tr>
    </w:tbl>
    <w:p w14:paraId="22935F3F" w14:textId="77777777"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14:paraId="0AB9B36E" w14:textId="77777777"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1.21</w:t>
      </w:r>
      <w:r w:rsidR="006E3395">
        <w:rPr>
          <w:rFonts w:ascii="ArialMT" w:hAnsi="ArialMT" w:cs="ArialMT"/>
          <w:sz w:val="18"/>
          <w:szCs w:val="18"/>
        </w:rPr>
        <w:tab/>
        <w:t xml:space="preserve">The </w:t>
      </w:r>
      <w:r w:rsidR="00674445">
        <w:rPr>
          <w:rFonts w:ascii="ArialMT" w:hAnsi="ArialMT" w:cs="ArialMT"/>
          <w:sz w:val="18"/>
          <w:szCs w:val="18"/>
        </w:rPr>
        <w:t>waterproofing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14:paraId="112537A4" w14:textId="77777777"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6E0969">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C073C">
        <w:rPr>
          <w:rFonts w:ascii="Arial" w:hAnsi="Arial" w:cs="Arial"/>
          <w:b/>
          <w:sz w:val="18"/>
          <w:szCs w:val="18"/>
          <w:lang w:val="en-GB"/>
        </w:rPr>
        <w:t>Engage</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C073C">
        <w:rPr>
          <w:rFonts w:ascii="Arial" w:hAnsi="Arial" w:cs="Arial"/>
          <w:sz w:val="18"/>
          <w:szCs w:val="18"/>
          <w:lang w:val="en-GB"/>
        </w:rPr>
        <w:t>is</w:t>
      </w:r>
      <w:r w:rsidRPr="00880AFB">
        <w:rPr>
          <w:rFonts w:ascii="Arial" w:hAnsi="Arial" w:cs="Arial"/>
          <w:sz w:val="18"/>
          <w:szCs w:val="18"/>
          <w:lang w:val="en-GB"/>
        </w:rPr>
        <w:t xml:space="preserve">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5BD4364A" wp14:editId="7733990F">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CE768"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4364A"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" stroked="f">
                <v:textbox>
                  <w:txbxContent>
                    <w:p w14:paraId="3C8CE768"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183CF09" wp14:editId="08AA460B">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B026E" w14:textId="77777777"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3CF09"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5E8wEAANA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" stroked="f">
                <v:textbox>
                  <w:txbxContent>
                    <w:p w14:paraId="162B026E" w14:textId="77777777"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7EE0" w14:textId="77777777" w:rsidR="0042551B" w:rsidRDefault="0042551B" w:rsidP="00275B04">
      <w:pPr>
        <w:spacing w:after="0" w:line="240" w:lineRule="auto"/>
      </w:pPr>
      <w:r>
        <w:separator/>
      </w:r>
    </w:p>
  </w:endnote>
  <w:endnote w:type="continuationSeparator" w:id="0">
    <w:p w14:paraId="4FCB4A6F" w14:textId="77777777" w:rsidR="0042551B" w:rsidRDefault="0042551B"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CFF0" w14:textId="77777777" w:rsidR="00CD05F0" w:rsidRDefault="00CD05F0" w:rsidP="00CD05F0">
    <w:pPr>
      <w:pStyle w:val="1-headers"/>
      <w:rPr>
        <w:sz w:val="12"/>
        <w:szCs w:val="12"/>
      </w:rPr>
    </w:pPr>
    <w:r>
      <w:rPr>
        <w:sz w:val="12"/>
        <w:szCs w:val="12"/>
      </w:rPr>
      <w:t>Disclaimer</w:t>
    </w:r>
  </w:p>
  <w:p w14:paraId="598F1136" w14:textId="77777777"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14:paraId="60943B74" w14:textId="77777777"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14:anchorId="3C181AD3" wp14:editId="03C9F25D">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14:paraId="3582C125"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438674E" w14:textId="77777777" w:rsidR="00605FF5" w:rsidRDefault="00605FF5" w:rsidP="00605FF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2E0046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571516E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F1CFDC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763F9A6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113FBC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181AD3"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nd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aLVd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" stroked="f">
              <v:textbox style="mso-fit-shape-to-text:t">
                <w:txbxContent>
                  <w:p w14:paraId="3582C125" w14:textId="77777777" w:rsidR="002A63CF" w:rsidRDefault="002A63CF" w:rsidP="00812308">
                    <w:pPr>
                      <w:pStyle w:val="1-headers"/>
                      <w:spacing w:before="0" w:after="0" w:line="240" w:lineRule="auto"/>
                      <w:rPr>
                        <w:sz w:val="12"/>
                        <w:szCs w:val="12"/>
                      </w:rPr>
                    </w:pPr>
                    <w:r>
                      <w:rPr>
                        <w:sz w:val="12"/>
                        <w:szCs w:val="12"/>
                      </w:rPr>
                      <w:t>Parchem Construction Supplies Pty Ltd</w:t>
                    </w:r>
                  </w:p>
                  <w:p w14:paraId="7438674E" w14:textId="77777777" w:rsidR="00605FF5" w:rsidRDefault="00605FF5" w:rsidP="00605FF5">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14:paraId="32E00463"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14:paraId="571516EA"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14:paraId="5F1CFDC0" w14:textId="77777777"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14:paraId="763F9A6B" w14:textId="77777777"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14:paraId="0113FBC0" w14:textId="77777777"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14:paraId="31B9AE21" w14:textId="77777777"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756387DD" wp14:editId="06601E54">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14:paraId="01886ED0"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6A0FD855" w14:textId="77777777"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387DD"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" stroked="f">
              <v:textbox>
                <w:txbxContent>
                  <w:p w14:paraId="01886ED0" w14:textId="77777777"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F37C2">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14:paraId="6A0FD855" w14:textId="77777777"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30782581" wp14:editId="0C43870E">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14:paraId="3B59EB6D" w14:textId="15792EB4"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C90802">
      <w:rPr>
        <w:sz w:val="12"/>
        <w:szCs w:val="12"/>
      </w:rPr>
      <w:t>Jan 2024</w:t>
    </w:r>
  </w:p>
  <w:p w14:paraId="03A97A5C" w14:textId="77777777"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5BA7" w14:textId="77777777" w:rsidR="0042551B" w:rsidRDefault="0042551B" w:rsidP="00275B04">
      <w:pPr>
        <w:spacing w:after="0" w:line="240" w:lineRule="auto"/>
      </w:pPr>
      <w:bookmarkStart w:id="0" w:name="_Hlk37232099"/>
      <w:bookmarkEnd w:id="0"/>
      <w:r>
        <w:separator/>
      </w:r>
    </w:p>
  </w:footnote>
  <w:footnote w:type="continuationSeparator" w:id="0">
    <w:p w14:paraId="1F1EDDA1" w14:textId="77777777" w:rsidR="0042551B" w:rsidRDefault="0042551B"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41E5" w14:textId="77777777"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3193C7F1" wp14:editId="0D6A24F2">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2AF7CCFA" w14:textId="77777777"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381D" w14:textId="77777777"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5A0D89D" wp14:editId="56A2BF2C">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14:paraId="12308D73" w14:textId="77777777"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1936552194">
    <w:abstractNumId w:val="2"/>
  </w:num>
  <w:num w:numId="2" w16cid:durableId="21905265">
    <w:abstractNumId w:val="4"/>
  </w:num>
  <w:num w:numId="3" w16cid:durableId="991831109">
    <w:abstractNumId w:val="3"/>
  </w:num>
  <w:num w:numId="4" w16cid:durableId="751394193">
    <w:abstractNumId w:val="1"/>
  </w:num>
  <w:num w:numId="5" w16cid:durableId="579758661">
    <w:abstractNumId w:val="0"/>
  </w:num>
  <w:num w:numId="6" w16cid:durableId="1191652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B457D"/>
    <w:rsid w:val="000C47C9"/>
    <w:rsid w:val="001204F2"/>
    <w:rsid w:val="00152B71"/>
    <w:rsid w:val="00191850"/>
    <w:rsid w:val="001A1AB6"/>
    <w:rsid w:val="001D19CF"/>
    <w:rsid w:val="001E2F14"/>
    <w:rsid w:val="001E5CD1"/>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16AD7"/>
    <w:rsid w:val="0042551B"/>
    <w:rsid w:val="00464377"/>
    <w:rsid w:val="00487D1B"/>
    <w:rsid w:val="004B16C6"/>
    <w:rsid w:val="004C1E6B"/>
    <w:rsid w:val="004C7BB4"/>
    <w:rsid w:val="004F60AF"/>
    <w:rsid w:val="00504BF6"/>
    <w:rsid w:val="005056A0"/>
    <w:rsid w:val="00527B39"/>
    <w:rsid w:val="00527D75"/>
    <w:rsid w:val="00530415"/>
    <w:rsid w:val="00562D7F"/>
    <w:rsid w:val="005A5F98"/>
    <w:rsid w:val="00605FF5"/>
    <w:rsid w:val="0061112D"/>
    <w:rsid w:val="00621099"/>
    <w:rsid w:val="00626BAC"/>
    <w:rsid w:val="00645E26"/>
    <w:rsid w:val="00656271"/>
    <w:rsid w:val="00662606"/>
    <w:rsid w:val="0066511C"/>
    <w:rsid w:val="00674445"/>
    <w:rsid w:val="006B003F"/>
    <w:rsid w:val="006D47D2"/>
    <w:rsid w:val="006D65B0"/>
    <w:rsid w:val="006E0969"/>
    <w:rsid w:val="006E22C9"/>
    <w:rsid w:val="006E28B7"/>
    <w:rsid w:val="006E3395"/>
    <w:rsid w:val="006F4B8E"/>
    <w:rsid w:val="007032C0"/>
    <w:rsid w:val="00725419"/>
    <w:rsid w:val="00755F33"/>
    <w:rsid w:val="007751BC"/>
    <w:rsid w:val="007842B0"/>
    <w:rsid w:val="007A2A2B"/>
    <w:rsid w:val="007B7189"/>
    <w:rsid w:val="007C1F27"/>
    <w:rsid w:val="007D79CB"/>
    <w:rsid w:val="00800421"/>
    <w:rsid w:val="00812308"/>
    <w:rsid w:val="00877B18"/>
    <w:rsid w:val="008A4736"/>
    <w:rsid w:val="008C073C"/>
    <w:rsid w:val="008C6162"/>
    <w:rsid w:val="008F37C2"/>
    <w:rsid w:val="00965080"/>
    <w:rsid w:val="009811E7"/>
    <w:rsid w:val="00996E5B"/>
    <w:rsid w:val="009A1D10"/>
    <w:rsid w:val="009A5E03"/>
    <w:rsid w:val="009A62BC"/>
    <w:rsid w:val="009B6A16"/>
    <w:rsid w:val="009E3474"/>
    <w:rsid w:val="00A03ED5"/>
    <w:rsid w:val="00A11BB0"/>
    <w:rsid w:val="00A13BF0"/>
    <w:rsid w:val="00A17FD3"/>
    <w:rsid w:val="00A33A1F"/>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0802"/>
    <w:rsid w:val="00C95E8A"/>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0A8B"/>
    <w:rsid w:val="00E53E29"/>
    <w:rsid w:val="00E70516"/>
    <w:rsid w:val="00E77313"/>
    <w:rsid w:val="00E811C3"/>
    <w:rsid w:val="00E878F7"/>
    <w:rsid w:val="00E937D8"/>
    <w:rsid w:val="00E93EA5"/>
    <w:rsid w:val="00E9612C"/>
    <w:rsid w:val="00ED533F"/>
    <w:rsid w:val="00F13362"/>
    <w:rsid w:val="00F649C2"/>
    <w:rsid w:val="00F67288"/>
    <w:rsid w:val="00F9076F"/>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84F1C"/>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92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5</cp:revision>
  <dcterms:created xsi:type="dcterms:W3CDTF">2020-05-04T00:16:00Z</dcterms:created>
  <dcterms:modified xsi:type="dcterms:W3CDTF">2024-01-14T20:09:00Z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