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9B6A16">
        <w:rPr>
          <w:rFonts w:ascii="Arial Black" w:hAnsi="Arial Black" w:cs="Arial"/>
          <w:sz w:val="36"/>
          <w:szCs w:val="36"/>
        </w:rPr>
        <w:t>EP10</w:t>
      </w:r>
      <w:r w:rsidRPr="006B003F">
        <w:rPr>
          <w:rFonts w:ascii="Arial Black" w:hAnsi="Arial Black" w:cs="Arial"/>
          <w:sz w:val="36"/>
          <w:szCs w:val="36"/>
        </w:rPr>
        <w:t xml:space="preserve"> </w:t>
      </w:r>
    </w:p>
    <w:p w:rsidR="009B6A16" w:rsidRPr="009B6A16" w:rsidRDefault="009B6A16" w:rsidP="009B6A16">
      <w:pPr>
        <w:autoSpaceDE w:val="0"/>
        <w:autoSpaceDN w:val="0"/>
        <w:adjustRightInd w:val="0"/>
        <w:spacing w:after="240" w:line="240" w:lineRule="auto"/>
        <w:rPr>
          <w:rFonts w:ascii="Arial" w:hAnsi="Arial" w:cs="Arial"/>
          <w:b/>
          <w:sz w:val="20"/>
          <w:szCs w:val="20"/>
        </w:rPr>
      </w:pPr>
      <w:r w:rsidRPr="009B6A16">
        <w:rPr>
          <w:rFonts w:ascii="Arial" w:hAnsi="Arial" w:cs="Arial"/>
          <w:b/>
          <w:sz w:val="20"/>
          <w:szCs w:val="20"/>
        </w:rPr>
        <w:t xml:space="preserve">Highly fluid epoxy grout for dynamic/repetitive load applications </w:t>
      </w:r>
      <w:r w:rsidR="001E2F14">
        <w:rPr>
          <w:rFonts w:ascii="Arial" w:hAnsi="Arial" w:cs="Arial"/>
          <w:b/>
          <w:sz w:val="20"/>
          <w:szCs w:val="20"/>
        </w:rPr>
        <w:t xml:space="preserve">- </w:t>
      </w:r>
      <w:r w:rsidRPr="009B6A16">
        <w:rPr>
          <w:rFonts w:ascii="Arial" w:hAnsi="Arial" w:cs="Arial"/>
          <w:b/>
          <w:sz w:val="20"/>
          <w:szCs w:val="20"/>
        </w:rPr>
        <w:t>gap</w:t>
      </w:r>
      <w:r w:rsidR="001E2F14">
        <w:rPr>
          <w:rFonts w:ascii="Arial" w:hAnsi="Arial" w:cs="Arial"/>
          <w:b/>
          <w:sz w:val="20"/>
          <w:szCs w:val="20"/>
        </w:rPr>
        <w:t>s</w:t>
      </w:r>
      <w:r w:rsidRPr="009B6A16">
        <w:rPr>
          <w:rFonts w:ascii="Arial" w:hAnsi="Arial" w:cs="Arial"/>
          <w:b/>
          <w:sz w:val="20"/>
          <w:szCs w:val="20"/>
        </w:rPr>
        <w:t xml:space="preserve"> up to 10mm</w:t>
      </w:r>
    </w:p>
    <w:p w:rsidR="006B003F" w:rsidRPr="006B003F" w:rsidRDefault="006B003F" w:rsidP="006B003F">
      <w:pPr>
        <w:spacing w:after="0"/>
        <w:rPr>
          <w:rFonts w:ascii="Arial" w:hAnsi="Arial" w:cs="Arial"/>
          <w:b/>
          <w:sz w:val="18"/>
          <w:szCs w:val="18"/>
          <w:lang w:val="en-GB"/>
        </w:rPr>
      </w:pPr>
      <w:r w:rsidRPr="006B003F">
        <w:rPr>
          <w:rFonts w:ascii="Arial" w:hAnsi="Arial" w:cs="Arial"/>
          <w:b/>
          <w:sz w:val="18"/>
          <w:szCs w:val="18"/>
          <w:lang w:val="en-GB"/>
        </w:rPr>
        <w:t xml:space="preserve">1.0 </w:t>
      </w:r>
      <w:r w:rsidRPr="006B003F">
        <w:rPr>
          <w:rFonts w:ascii="Arial" w:hAnsi="Arial" w:cs="Arial"/>
          <w:b/>
          <w:sz w:val="18"/>
          <w:szCs w:val="18"/>
          <w:lang w:val="en-GB"/>
        </w:rPr>
        <w:tab/>
        <w:t>Grouting Requirements</w:t>
      </w:r>
    </w:p>
    <w:p w:rsidR="006B003F" w:rsidRPr="006B003F" w:rsidRDefault="006B003F" w:rsidP="006B003F">
      <w:pPr>
        <w:spacing w:after="0"/>
        <w:rPr>
          <w:rFonts w:ascii="Arial" w:hAnsi="Arial" w:cs="Arial"/>
          <w:b/>
          <w:sz w:val="18"/>
          <w:szCs w:val="18"/>
          <w:lang w:val="en-GB"/>
        </w:rPr>
      </w:pPr>
    </w:p>
    <w:p w:rsidR="009B6A16" w:rsidRPr="009B6A16" w:rsidRDefault="006B003F" w:rsidP="009B6A16">
      <w:pPr>
        <w:numPr>
          <w:ilvl w:val="1"/>
          <w:numId w:val="1"/>
        </w:numPr>
        <w:spacing w:after="0"/>
        <w:rPr>
          <w:rFonts w:ascii="Arial" w:hAnsi="Arial" w:cs="Arial"/>
          <w:sz w:val="18"/>
          <w:szCs w:val="18"/>
          <w:lang w:val="en-GB"/>
        </w:rPr>
      </w:pPr>
      <w:r w:rsidRPr="009B6A16">
        <w:rPr>
          <w:rFonts w:ascii="Arial" w:hAnsi="Arial" w:cs="Arial"/>
          <w:sz w:val="18"/>
          <w:szCs w:val="18"/>
          <w:lang w:val="en-GB"/>
        </w:rPr>
        <w:t xml:space="preserve">  </w:t>
      </w:r>
      <w:r w:rsidRPr="009B6A16">
        <w:rPr>
          <w:rFonts w:ascii="Arial" w:hAnsi="Arial" w:cs="Arial"/>
          <w:sz w:val="18"/>
          <w:szCs w:val="18"/>
          <w:lang w:val="en-GB"/>
        </w:rPr>
        <w:tab/>
      </w:r>
      <w:r w:rsidR="009B6A16" w:rsidRPr="009B6A16">
        <w:rPr>
          <w:rFonts w:ascii="Arial" w:hAnsi="Arial" w:cs="Arial"/>
          <w:sz w:val="18"/>
          <w:szCs w:val="18"/>
          <w:lang w:val="en-GB"/>
        </w:rPr>
        <w:t xml:space="preserve">To the nominated area(s) (specify details and areas of application), grouting must be carried out using a </w:t>
      </w:r>
      <w:r w:rsidR="009B6A16">
        <w:rPr>
          <w:rFonts w:ascii="Arial" w:hAnsi="Arial" w:cs="Arial"/>
          <w:sz w:val="18"/>
          <w:szCs w:val="18"/>
          <w:lang w:val="en-GB"/>
        </w:rPr>
        <w:tab/>
      </w:r>
      <w:r w:rsidR="009B6A16" w:rsidRPr="009B6A16">
        <w:rPr>
          <w:rFonts w:ascii="Arial" w:hAnsi="Arial" w:cs="Arial"/>
          <w:sz w:val="18"/>
          <w:szCs w:val="18"/>
          <w:lang w:val="en-GB"/>
        </w:rPr>
        <w:t>highly fluid epoxy resin grout, suitable for dynamic /repetitive load applications.</w:t>
      </w:r>
    </w:p>
    <w:p w:rsidR="009B6A16" w:rsidRPr="009B6A16" w:rsidRDefault="009B6A16" w:rsidP="009B6A16">
      <w:pPr>
        <w:spacing w:after="0"/>
        <w:rPr>
          <w:rFonts w:ascii="Arial" w:hAnsi="Arial" w:cs="Arial"/>
          <w:sz w:val="18"/>
          <w:szCs w:val="18"/>
          <w:lang w:val="en-GB"/>
        </w:rPr>
      </w:pPr>
    </w:p>
    <w:p w:rsidR="009B6A16" w:rsidRPr="009B6A16" w:rsidRDefault="009B6A16" w:rsidP="009B6A16">
      <w:pPr>
        <w:numPr>
          <w:ilvl w:val="1"/>
          <w:numId w:val="1"/>
        </w:numPr>
        <w:spacing w:after="0"/>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GB"/>
        </w:rPr>
        <w:tab/>
      </w:r>
      <w:r w:rsidRPr="009B6A16">
        <w:rPr>
          <w:rFonts w:ascii="Arial" w:hAnsi="Arial" w:cs="Arial"/>
          <w:sz w:val="18"/>
          <w:szCs w:val="18"/>
          <w:lang w:val="en-GB"/>
        </w:rPr>
        <w:t>The two</w:t>
      </w:r>
      <w:r>
        <w:rPr>
          <w:rFonts w:ascii="Arial" w:hAnsi="Arial" w:cs="Arial"/>
          <w:sz w:val="18"/>
          <w:szCs w:val="18"/>
          <w:lang w:val="en-GB"/>
        </w:rPr>
        <w:t>-</w:t>
      </w:r>
      <w:r w:rsidRPr="009B6A16">
        <w:rPr>
          <w:rFonts w:ascii="Arial" w:hAnsi="Arial" w:cs="Arial"/>
          <w:sz w:val="18"/>
          <w:szCs w:val="18"/>
          <w:lang w:val="en-GB"/>
        </w:rPr>
        <w:t xml:space="preserve">component pack is to be stored, handled and placed, strictly in accordance with the </w:t>
      </w:r>
      <w:r>
        <w:rPr>
          <w:rFonts w:ascii="Arial" w:hAnsi="Arial" w:cs="Arial"/>
          <w:sz w:val="18"/>
          <w:szCs w:val="18"/>
          <w:lang w:val="en-GB"/>
        </w:rPr>
        <w:tab/>
      </w:r>
      <w:r w:rsidRPr="009B6A16">
        <w:rPr>
          <w:rFonts w:ascii="Arial" w:hAnsi="Arial" w:cs="Arial"/>
          <w:sz w:val="18"/>
          <w:szCs w:val="18"/>
          <w:lang w:val="en-GB"/>
        </w:rPr>
        <w:t xml:space="preserve">manufacturer’s current technical data sheet and instructions. </w:t>
      </w:r>
    </w:p>
    <w:p w:rsidR="009B6A16" w:rsidRPr="009B6A16" w:rsidRDefault="009B6A16" w:rsidP="009B6A16">
      <w:pPr>
        <w:spacing w:after="0"/>
        <w:rPr>
          <w:rFonts w:ascii="Arial" w:hAnsi="Arial" w:cs="Arial"/>
          <w:sz w:val="18"/>
          <w:szCs w:val="18"/>
          <w:lang w:val="en-GB"/>
        </w:rPr>
      </w:pPr>
    </w:p>
    <w:p w:rsidR="009B6A16" w:rsidRPr="009B6A16" w:rsidRDefault="009B6A16" w:rsidP="009B6A16">
      <w:pPr>
        <w:numPr>
          <w:ilvl w:val="1"/>
          <w:numId w:val="1"/>
        </w:numPr>
        <w:spacing w:after="0"/>
        <w:rPr>
          <w:rFonts w:ascii="Arial" w:hAnsi="Arial" w:cs="Arial"/>
          <w:sz w:val="18"/>
          <w:szCs w:val="18"/>
          <w:lang w:val="en-GB"/>
        </w:rPr>
      </w:pPr>
      <w:r>
        <w:rPr>
          <w:rFonts w:ascii="Arial" w:hAnsi="Arial" w:cs="Arial"/>
          <w:sz w:val="18"/>
          <w:szCs w:val="18"/>
          <w:lang w:val="en-GB"/>
        </w:rPr>
        <w:tab/>
      </w:r>
      <w:r w:rsidRPr="009B6A16">
        <w:rPr>
          <w:rFonts w:ascii="Arial" w:hAnsi="Arial" w:cs="Arial"/>
          <w:sz w:val="18"/>
          <w:szCs w:val="18"/>
          <w:lang w:val="en-GB"/>
        </w:rPr>
        <w:t xml:space="preserve">The epoxy resin grout shall exhibit the following properties: </w:t>
      </w:r>
    </w:p>
    <w:p w:rsidR="009B6A16" w:rsidRPr="009B6A16" w:rsidRDefault="009B6A16" w:rsidP="009B6A16">
      <w:pPr>
        <w:spacing w:after="0"/>
        <w:rPr>
          <w:rFonts w:ascii="Arial" w:hAnsi="Arial" w:cs="Arial"/>
          <w:sz w:val="18"/>
          <w:szCs w:val="18"/>
          <w:lang w:val="en-GB"/>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2445"/>
      </w:tblGrid>
      <w:tr w:rsidR="009B6A16" w:rsidRPr="009B6A16" w:rsidTr="009B6A16">
        <w:trPr>
          <w:trHeight w:val="443"/>
        </w:trPr>
        <w:tc>
          <w:tcPr>
            <w:tcW w:w="4926"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Viscosity:</w:t>
            </w:r>
          </w:p>
        </w:tc>
        <w:tc>
          <w:tcPr>
            <w:tcW w:w="2445"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150 – 200 cps @ 2</w:t>
            </w:r>
            <w:r w:rsidR="00E1769E">
              <w:rPr>
                <w:rFonts w:ascii="Arial" w:hAnsi="Arial" w:cs="Arial"/>
                <w:sz w:val="18"/>
                <w:szCs w:val="18"/>
                <w:lang w:val="en-GB"/>
              </w:rPr>
              <w:t>5</w:t>
            </w:r>
            <w:r w:rsidRPr="009B6A16">
              <w:rPr>
                <w:rFonts w:ascii="Arial" w:hAnsi="Arial" w:cs="Arial"/>
                <w:sz w:val="18"/>
                <w:szCs w:val="18"/>
                <w:vertAlign w:val="superscript"/>
                <w:lang w:val="en-GB"/>
              </w:rPr>
              <w:t>o</w:t>
            </w:r>
            <w:r w:rsidRPr="009B6A16">
              <w:rPr>
                <w:rFonts w:ascii="Arial" w:hAnsi="Arial" w:cs="Arial"/>
                <w:sz w:val="18"/>
                <w:szCs w:val="18"/>
                <w:lang w:val="en-GB"/>
              </w:rPr>
              <w:t>C</w:t>
            </w:r>
          </w:p>
        </w:tc>
      </w:tr>
      <w:tr w:rsidR="009B6A16" w:rsidRPr="009B6A16" w:rsidTr="009B6A16">
        <w:tc>
          <w:tcPr>
            <w:tcW w:w="4926"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Compressive strength:</w:t>
            </w:r>
          </w:p>
        </w:tc>
        <w:tc>
          <w:tcPr>
            <w:tcW w:w="2445"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57 MPa @ 1 day @ 20</w:t>
            </w:r>
            <w:r w:rsidRPr="009B6A16">
              <w:rPr>
                <w:rFonts w:ascii="Arial" w:hAnsi="Arial" w:cs="Arial"/>
                <w:sz w:val="18"/>
                <w:szCs w:val="18"/>
                <w:vertAlign w:val="superscript"/>
                <w:lang w:val="en-GB"/>
              </w:rPr>
              <w:t>o</w:t>
            </w:r>
            <w:r w:rsidRPr="009B6A16">
              <w:rPr>
                <w:rFonts w:ascii="Arial" w:hAnsi="Arial" w:cs="Arial"/>
                <w:sz w:val="18"/>
                <w:szCs w:val="18"/>
                <w:lang w:val="en-GB"/>
              </w:rPr>
              <w:t xml:space="preserve">C </w:t>
            </w:r>
          </w:p>
        </w:tc>
      </w:tr>
      <w:tr w:rsidR="009B6A16" w:rsidRPr="009B6A16" w:rsidTr="009B6A16">
        <w:tc>
          <w:tcPr>
            <w:tcW w:w="4926"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Compressive strength:</w:t>
            </w:r>
          </w:p>
        </w:tc>
        <w:tc>
          <w:tcPr>
            <w:tcW w:w="2445"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83 MPa @ 7 days @ 20</w:t>
            </w:r>
            <w:r w:rsidRPr="009B6A16">
              <w:rPr>
                <w:rFonts w:ascii="Arial" w:hAnsi="Arial" w:cs="Arial"/>
                <w:sz w:val="18"/>
                <w:szCs w:val="18"/>
                <w:vertAlign w:val="superscript"/>
                <w:lang w:val="en-GB"/>
              </w:rPr>
              <w:t>o</w:t>
            </w:r>
            <w:r w:rsidRPr="009B6A16">
              <w:rPr>
                <w:rFonts w:ascii="Arial" w:hAnsi="Arial" w:cs="Arial"/>
                <w:sz w:val="18"/>
                <w:szCs w:val="18"/>
                <w:lang w:val="en-GB"/>
              </w:rPr>
              <w:t>C</w:t>
            </w:r>
          </w:p>
        </w:tc>
      </w:tr>
      <w:tr w:rsidR="009B6A16" w:rsidRPr="009B6A16" w:rsidTr="009B6A16">
        <w:trPr>
          <w:trHeight w:val="325"/>
        </w:trPr>
        <w:tc>
          <w:tcPr>
            <w:tcW w:w="4926"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Modulus of Rupture / Flexural strength (AS1012.11-2000):</w:t>
            </w:r>
          </w:p>
        </w:tc>
        <w:tc>
          <w:tcPr>
            <w:tcW w:w="2445"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30 MPa @ 7 days@ 23</w:t>
            </w:r>
            <w:r w:rsidRPr="009B6A16">
              <w:rPr>
                <w:rFonts w:ascii="Arial" w:hAnsi="Arial" w:cs="Arial"/>
                <w:sz w:val="18"/>
                <w:szCs w:val="18"/>
                <w:vertAlign w:val="superscript"/>
                <w:lang w:val="en-GB"/>
              </w:rPr>
              <w:t>o</w:t>
            </w:r>
            <w:r w:rsidRPr="009B6A16">
              <w:rPr>
                <w:rFonts w:ascii="Arial" w:hAnsi="Arial" w:cs="Arial"/>
                <w:sz w:val="18"/>
                <w:szCs w:val="18"/>
                <w:lang w:val="en-GB"/>
              </w:rPr>
              <w:t xml:space="preserve">C  </w:t>
            </w:r>
          </w:p>
        </w:tc>
      </w:tr>
      <w:tr w:rsidR="009B6A16" w:rsidRPr="009B6A16" w:rsidTr="009B6A16">
        <w:tc>
          <w:tcPr>
            <w:tcW w:w="4926"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Indirect Tensile strength (AS1012.10-2000):</w:t>
            </w:r>
          </w:p>
        </w:tc>
        <w:tc>
          <w:tcPr>
            <w:tcW w:w="2445" w:type="dxa"/>
          </w:tcPr>
          <w:p w:rsidR="009B6A16" w:rsidRPr="009B6A16" w:rsidRDefault="009B6A16" w:rsidP="00FA3181">
            <w:pPr>
              <w:spacing w:before="60" w:after="60" w:line="240" w:lineRule="auto"/>
              <w:rPr>
                <w:rFonts w:ascii="Arial" w:hAnsi="Arial" w:cs="Arial"/>
                <w:sz w:val="18"/>
                <w:szCs w:val="18"/>
                <w:lang w:val="en-GB"/>
              </w:rPr>
            </w:pPr>
            <w:r w:rsidRPr="009B6A16">
              <w:rPr>
                <w:rFonts w:ascii="Arial" w:hAnsi="Arial" w:cs="Arial"/>
                <w:sz w:val="18"/>
                <w:szCs w:val="18"/>
                <w:lang w:val="en-GB"/>
              </w:rPr>
              <w:t>15 MPa @ 7 days @ 23</w:t>
            </w:r>
            <w:r w:rsidRPr="009B6A16">
              <w:rPr>
                <w:rFonts w:ascii="Arial" w:hAnsi="Arial" w:cs="Arial"/>
                <w:sz w:val="18"/>
                <w:szCs w:val="18"/>
                <w:vertAlign w:val="superscript"/>
                <w:lang w:val="en-GB"/>
              </w:rPr>
              <w:t>o</w:t>
            </w:r>
            <w:r w:rsidRPr="009B6A16">
              <w:rPr>
                <w:rFonts w:ascii="Arial" w:hAnsi="Arial" w:cs="Arial"/>
                <w:sz w:val="18"/>
                <w:szCs w:val="18"/>
                <w:lang w:val="en-GB"/>
              </w:rPr>
              <w:t>C</w:t>
            </w:r>
          </w:p>
        </w:tc>
      </w:tr>
    </w:tbl>
    <w:p w:rsidR="009B6A16" w:rsidRPr="009B6A16" w:rsidRDefault="009B6A16" w:rsidP="009B6A16">
      <w:pPr>
        <w:spacing w:after="0"/>
        <w:rPr>
          <w:rFonts w:ascii="Arial" w:hAnsi="Arial" w:cs="Arial"/>
          <w:sz w:val="18"/>
          <w:szCs w:val="18"/>
          <w:lang w:val="en-GB"/>
        </w:rPr>
      </w:pPr>
    </w:p>
    <w:p w:rsidR="00996E5B" w:rsidRPr="009B6A16" w:rsidRDefault="009B6A16" w:rsidP="009B6A16">
      <w:pPr>
        <w:pStyle w:val="ListParagraph"/>
        <w:numPr>
          <w:ilvl w:val="1"/>
          <w:numId w:val="1"/>
        </w:numPr>
        <w:spacing w:after="0"/>
        <w:rPr>
          <w:rFonts w:ascii="Arial" w:hAnsi="Arial" w:cs="Arial"/>
          <w:sz w:val="18"/>
          <w:szCs w:val="18"/>
          <w:lang w:val="en-GB"/>
        </w:rPr>
      </w:pPr>
      <w:r>
        <w:rPr>
          <w:rFonts w:ascii="Arial" w:hAnsi="Arial" w:cs="Arial"/>
          <w:b/>
          <w:sz w:val="18"/>
          <w:szCs w:val="18"/>
          <w:lang w:val="en-GB"/>
        </w:rPr>
        <w:tab/>
      </w:r>
      <w:r w:rsidRPr="009B6A16">
        <w:rPr>
          <w:rFonts w:ascii="Arial" w:hAnsi="Arial" w:cs="Arial"/>
          <w:b/>
          <w:sz w:val="18"/>
          <w:szCs w:val="18"/>
          <w:lang w:val="en-GB"/>
        </w:rPr>
        <w:t>Fosroc Conbextra EP10</w:t>
      </w:r>
      <w:r w:rsidRPr="009B6A16">
        <w:rPr>
          <w:rFonts w:ascii="Arial" w:hAnsi="Arial" w:cs="Arial"/>
          <w:sz w:val="18"/>
          <w:szCs w:val="18"/>
          <w:lang w:val="en-GB"/>
        </w:rPr>
        <w:t xml:space="preserve"> meets the performance criteria and is approved for this application. </w:t>
      </w:r>
    </w:p>
    <w:p w:rsidR="00275B04" w:rsidRPr="00645E26" w:rsidRDefault="00275B04" w:rsidP="00645E26">
      <w:pPr>
        <w:spacing w:after="160" w:line="259" w:lineRule="auto"/>
        <w:rPr>
          <w:rFonts w:ascii="Arial" w:hAnsi="Arial" w:cs="Arial"/>
          <w:b/>
          <w:lang w:val="en-GB"/>
        </w:rPr>
      </w:pPr>
      <w:bookmarkStart w:id="1" w:name="_GoBack"/>
      <w:bookmarkEnd w:id="1"/>
    </w:p>
    <w:sectPr w:rsidR="00275B04" w:rsidRPr="00645E26"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C50" w:rsidRDefault="00090C50" w:rsidP="00275B04">
      <w:pPr>
        <w:spacing w:after="0" w:line="240" w:lineRule="auto"/>
      </w:pPr>
      <w:r>
        <w:separator/>
      </w:r>
    </w:p>
  </w:endnote>
  <w:endnote w:type="continuationSeparator" w:id="0">
    <w:p w:rsidR="00090C50" w:rsidRDefault="00090C5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1769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C50" w:rsidRDefault="00090C50" w:rsidP="00275B04">
      <w:pPr>
        <w:spacing w:after="0" w:line="240" w:lineRule="auto"/>
      </w:pPr>
      <w:bookmarkStart w:id="0" w:name="_Hlk37232099"/>
      <w:bookmarkEnd w:id="0"/>
      <w:r>
        <w:separator/>
      </w:r>
    </w:p>
  </w:footnote>
  <w:footnote w:type="continuationSeparator" w:id="0">
    <w:p w:rsidR="00090C50" w:rsidRDefault="00090C5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90C50"/>
    <w:rsid w:val="00191850"/>
    <w:rsid w:val="001E2F14"/>
    <w:rsid w:val="001E5CD1"/>
    <w:rsid w:val="00234E76"/>
    <w:rsid w:val="00275B04"/>
    <w:rsid w:val="00275C04"/>
    <w:rsid w:val="002A63CF"/>
    <w:rsid w:val="002F2E62"/>
    <w:rsid w:val="003259C1"/>
    <w:rsid w:val="003467D7"/>
    <w:rsid w:val="003A71D8"/>
    <w:rsid w:val="00527B39"/>
    <w:rsid w:val="0061112D"/>
    <w:rsid w:val="00645E26"/>
    <w:rsid w:val="006B003F"/>
    <w:rsid w:val="007032C0"/>
    <w:rsid w:val="00812308"/>
    <w:rsid w:val="00996E5B"/>
    <w:rsid w:val="009B6A16"/>
    <w:rsid w:val="00B83C34"/>
    <w:rsid w:val="00CD05F0"/>
    <w:rsid w:val="00D06237"/>
    <w:rsid w:val="00D50130"/>
    <w:rsid w:val="00D644C7"/>
    <w:rsid w:val="00D67B1C"/>
    <w:rsid w:val="00DD28D4"/>
    <w:rsid w:val="00E1769E"/>
    <w:rsid w:val="00FA3181"/>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DD23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B19EE-858E-4066-A979-FCC92D83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10852-8DFD-46A0-89B7-6E76917EE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AA8C3-0CF1-4C95-955F-1A5697614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6</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2020-04-13T22:51:00Z</dcterms:created>
  <dcterms:modified xsi:type="dcterms:W3CDTF">2022-02-21T21:03:00Z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